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1844" w14:textId="4A62A928" w:rsidR="00752338" w:rsidRDefault="00752338" w:rsidP="00752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2586E">
        <w:rPr>
          <w:b/>
          <w:i/>
          <w:noProof/>
          <w:sz w:val="28"/>
        </w:rPr>
        <w:t>0549</w:t>
      </w:r>
    </w:p>
    <w:p w14:paraId="5689B9C6" w14:textId="77777777" w:rsidR="00752338" w:rsidRDefault="00752338" w:rsidP="00752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52E05AC9" w14:textId="57468162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9.</w:t>
      </w:r>
      <w:r w:rsidR="006631D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 w:rsidR="00A92E7B">
        <w:rPr>
          <w:rFonts w:ascii="Arial" w:hAnsi="Arial" w:cs="Arial"/>
          <w:bCs/>
          <w:color w:val="000000"/>
          <w:sz w:val="20"/>
          <w:szCs w:val="20"/>
          <w:lang w:val="en-GB"/>
        </w:rPr>
        <w:t>5</w:t>
      </w:r>
    </w:p>
    <w:p w14:paraId="0407B055" w14:textId="0CE6B6D1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6631D5">
        <w:rPr>
          <w:rFonts w:ascii="Arial" w:hAnsi="Arial" w:cs="Arial"/>
          <w:bCs/>
          <w:color w:val="000000"/>
          <w:sz w:val="20"/>
          <w:szCs w:val="20"/>
          <w:lang w:val="en-GB"/>
        </w:rPr>
        <w:t>, CATT, China Telecom</w:t>
      </w:r>
    </w:p>
    <w:p w14:paraId="36046227" w14:textId="18663332" w:rsidR="00B21501" w:rsidRPr="007344AC" w:rsidRDefault="00B21501" w:rsidP="00B21501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A0DEF">
        <w:rPr>
          <w:rFonts w:ascii="Arial" w:hAnsi="Arial" w:cs="Arial"/>
          <w:bCs/>
          <w:color w:val="000000"/>
          <w:sz w:val="20"/>
          <w:szCs w:val="20"/>
          <w:lang w:val="en-GB"/>
        </w:rPr>
        <w:t>Support of</w:t>
      </w:r>
      <w:r w:rsidR="000834C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NCD-SSB RedCap</w:t>
      </w:r>
      <w:r w:rsidR="007D5B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requirements in F1AP</w:t>
      </w:r>
    </w:p>
    <w:p w14:paraId="613651A0" w14:textId="77777777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7BE650B2" w14:textId="77777777" w:rsidR="00B21501" w:rsidRDefault="00B21501" w:rsidP="00B21501">
      <w:pPr>
        <w:pStyle w:val="Heading1"/>
      </w:pPr>
      <w:r>
        <w:t>Introduction</w:t>
      </w:r>
    </w:p>
    <w:p w14:paraId="0206F9BF" w14:textId="18263E1A" w:rsidR="004A553B" w:rsidRPr="00E47889" w:rsidRDefault="004A553B" w:rsidP="00B31B30">
      <w:pPr>
        <w:jc w:val="both"/>
        <w:rPr>
          <w:sz w:val="20"/>
          <w:szCs w:val="22"/>
        </w:rPr>
      </w:pPr>
      <w:r w:rsidRPr="004A553B">
        <w:rPr>
          <w:rFonts w:eastAsia="Malgun Gothic"/>
          <w:sz w:val="20"/>
          <w:szCs w:val="22"/>
        </w:rPr>
        <w:t>In Rel</w:t>
      </w:r>
      <w:r>
        <w:rPr>
          <w:rFonts w:eastAsia="Malgun Gothic"/>
          <w:sz w:val="20"/>
          <w:szCs w:val="22"/>
        </w:rPr>
        <w:t>ease</w:t>
      </w:r>
      <w:r w:rsidRPr="004A553B">
        <w:rPr>
          <w:rFonts w:eastAsia="Malgun Gothic"/>
          <w:sz w:val="20"/>
          <w:szCs w:val="22"/>
        </w:rPr>
        <w:t xml:space="preserve">-17, RAN2 have introduced Non-Cell-Defining SSB (NCD-SSB) dedicated for Redcap UE. </w:t>
      </w:r>
      <w:r w:rsidR="00B31B30">
        <w:rPr>
          <w:rFonts w:eastAsia="Malgun Gothic"/>
          <w:sz w:val="20"/>
          <w:szCs w:val="22"/>
        </w:rPr>
        <w:t xml:space="preserve"> </w:t>
      </w:r>
      <w:r w:rsidR="00B41F19">
        <w:rPr>
          <w:rFonts w:eastAsia="Malgun Gothic"/>
          <w:sz w:val="20"/>
          <w:szCs w:val="22"/>
        </w:rPr>
        <w:t>In</w:t>
      </w:r>
      <w:r w:rsidR="00B31B30" w:rsidRPr="00B31B30">
        <w:rPr>
          <w:rFonts w:eastAsia="Malgun Gothic"/>
          <w:sz w:val="20"/>
          <w:szCs w:val="22"/>
        </w:rPr>
        <w:t xml:space="preserve"> Rel-17, one BWP can have up to one SSB (CD-SSB or NCD-SSB).</w:t>
      </w:r>
      <w:r w:rsidR="00B41F19">
        <w:rPr>
          <w:rFonts w:eastAsia="Malgun Gothic"/>
          <w:sz w:val="20"/>
          <w:szCs w:val="22"/>
        </w:rPr>
        <w:t xml:space="preserve"> </w:t>
      </w:r>
      <w:r w:rsidR="007E5619">
        <w:rPr>
          <w:rFonts w:eastAsia="Malgun Gothic"/>
          <w:sz w:val="20"/>
          <w:szCs w:val="22"/>
        </w:rPr>
        <w:t xml:space="preserve">When checking F1AP, we </w:t>
      </w:r>
      <w:r w:rsidR="005B2328">
        <w:rPr>
          <w:rFonts w:eastAsia="Malgun Gothic"/>
          <w:sz w:val="20"/>
          <w:szCs w:val="22"/>
        </w:rPr>
        <w:t xml:space="preserve">consider that </w:t>
      </w:r>
      <w:r w:rsidR="007E5619" w:rsidRPr="007E5619">
        <w:rPr>
          <w:rFonts w:eastAsia="Malgun Gothic"/>
          <w:sz w:val="20"/>
          <w:szCs w:val="22"/>
        </w:rPr>
        <w:t>current F1AP cannot satisfy the requirement for NCD-SSB.</w:t>
      </w:r>
      <w:r w:rsidR="005B2328">
        <w:rPr>
          <w:rFonts w:eastAsia="Malgun Gothic"/>
          <w:sz w:val="20"/>
          <w:szCs w:val="22"/>
        </w:rPr>
        <w:t xml:space="preserve"> This contribution explains the reasons and provides solutions</w:t>
      </w:r>
      <w:r w:rsidR="000001CB">
        <w:rPr>
          <w:rFonts w:eastAsia="Malgun Gothic"/>
          <w:sz w:val="20"/>
          <w:szCs w:val="22"/>
        </w:rPr>
        <w:t xml:space="preserve"> for this gap</w:t>
      </w:r>
      <w:r w:rsidR="005B2328">
        <w:rPr>
          <w:rFonts w:eastAsia="Malgun Gothic"/>
          <w:sz w:val="20"/>
          <w:szCs w:val="22"/>
        </w:rPr>
        <w:t>.</w:t>
      </w:r>
    </w:p>
    <w:p w14:paraId="1F7D3596" w14:textId="77777777" w:rsidR="00B21501" w:rsidRDefault="00B21501" w:rsidP="00B21501">
      <w:pPr>
        <w:pStyle w:val="Heading1"/>
      </w:pPr>
      <w:r>
        <w:t>Discussion</w:t>
      </w:r>
    </w:p>
    <w:p w14:paraId="209FC2F5" w14:textId="399A2476" w:rsidR="00AE672E" w:rsidRDefault="00170BB8" w:rsidP="006E0BC3">
      <w:pPr>
        <w:rPr>
          <w:sz w:val="20"/>
          <w:szCs w:val="20"/>
        </w:rPr>
      </w:pPr>
      <w:r>
        <w:rPr>
          <w:sz w:val="20"/>
          <w:szCs w:val="20"/>
        </w:rPr>
        <w:t>As per current TS 38.473,</w:t>
      </w:r>
      <w:r w:rsidR="00AD085B" w:rsidRPr="00AD085B">
        <w:rPr>
          <w:sz w:val="20"/>
          <w:szCs w:val="20"/>
        </w:rPr>
        <w:t xml:space="preserve"> </w:t>
      </w:r>
      <w:r w:rsidR="005C01B4">
        <w:rPr>
          <w:sz w:val="20"/>
          <w:szCs w:val="20"/>
        </w:rPr>
        <w:t xml:space="preserve">the </w:t>
      </w:r>
      <w:r>
        <w:rPr>
          <w:sz w:val="20"/>
          <w:szCs w:val="20"/>
        </w:rPr>
        <w:t>gNB-</w:t>
      </w:r>
      <w:r w:rsidR="00AD085B" w:rsidRPr="00AD085B">
        <w:rPr>
          <w:sz w:val="20"/>
          <w:szCs w:val="20"/>
        </w:rPr>
        <w:t xml:space="preserve">CU </w:t>
      </w:r>
      <w:r>
        <w:rPr>
          <w:sz w:val="20"/>
          <w:szCs w:val="20"/>
        </w:rPr>
        <w:t xml:space="preserve">assigns </w:t>
      </w:r>
      <w:r w:rsidR="00825953" w:rsidRPr="003A263C">
        <w:rPr>
          <w:b/>
          <w:bCs/>
          <w:sz w:val="20"/>
          <w:szCs w:val="20"/>
        </w:rPr>
        <w:t>one</w:t>
      </w:r>
      <w:r w:rsidR="00825953" w:rsidRPr="003A263C">
        <w:rPr>
          <w:sz w:val="20"/>
          <w:szCs w:val="20"/>
        </w:rPr>
        <w:t xml:space="preserve"> </w:t>
      </w:r>
      <w:r w:rsidR="00825953" w:rsidRPr="003A263C">
        <w:rPr>
          <w:i/>
          <w:iCs/>
          <w:sz w:val="20"/>
          <w:szCs w:val="20"/>
        </w:rPr>
        <w:t>servingCellMO</w:t>
      </w:r>
      <w:r w:rsidR="00825953" w:rsidRPr="003A263C">
        <w:rPr>
          <w:sz w:val="20"/>
          <w:szCs w:val="20"/>
        </w:rPr>
        <w:t xml:space="preserve"> IE </w:t>
      </w:r>
      <w:r>
        <w:rPr>
          <w:sz w:val="20"/>
          <w:szCs w:val="20"/>
        </w:rPr>
        <w:t xml:space="preserve">to the UE </w:t>
      </w:r>
      <w:r w:rsidR="0062773C">
        <w:rPr>
          <w:sz w:val="20"/>
          <w:szCs w:val="20"/>
        </w:rPr>
        <w:t>and signals it to the gNB-DU</w:t>
      </w:r>
      <w:r w:rsidR="005C01B4">
        <w:rPr>
          <w:sz w:val="20"/>
          <w:szCs w:val="20"/>
        </w:rPr>
        <w:t xml:space="preserve"> in </w:t>
      </w:r>
      <w:r w:rsidR="005C01B4" w:rsidRPr="003A263C">
        <w:rPr>
          <w:sz w:val="20"/>
          <w:szCs w:val="20"/>
        </w:rPr>
        <w:t xml:space="preserve">the UE CONTEXT SETUP REQUEST </w:t>
      </w:r>
      <w:r w:rsidR="005C01B4">
        <w:rPr>
          <w:sz w:val="20"/>
          <w:szCs w:val="20"/>
        </w:rPr>
        <w:t>or</w:t>
      </w:r>
      <w:r w:rsidR="005C01B4" w:rsidRPr="003A263C">
        <w:rPr>
          <w:sz w:val="20"/>
          <w:szCs w:val="20"/>
        </w:rPr>
        <w:t xml:space="preserve"> UE CONTEXT MODIFICATION REQUEST message</w:t>
      </w:r>
      <w:r w:rsidR="0062773C">
        <w:rPr>
          <w:sz w:val="20"/>
          <w:szCs w:val="20"/>
        </w:rPr>
        <w:t>, so t</w:t>
      </w:r>
      <w:r w:rsidR="005C01B4">
        <w:rPr>
          <w:sz w:val="20"/>
          <w:szCs w:val="20"/>
        </w:rPr>
        <w:t>h</w:t>
      </w:r>
      <w:r w:rsidR="0062773C">
        <w:rPr>
          <w:sz w:val="20"/>
          <w:szCs w:val="20"/>
        </w:rPr>
        <w:t xml:space="preserve">at gNB-DU can determine </w:t>
      </w:r>
      <w:r w:rsidR="005C01B4">
        <w:rPr>
          <w:sz w:val="20"/>
          <w:szCs w:val="20"/>
        </w:rPr>
        <w:t>UE’s BWP configuration and active BWP (specified in RRC message) and r</w:t>
      </w:r>
      <w:r w:rsidR="00AD085B" w:rsidRPr="00AD085B">
        <w:rPr>
          <w:sz w:val="20"/>
          <w:szCs w:val="20"/>
        </w:rPr>
        <w:t>espond</w:t>
      </w:r>
      <w:r w:rsidR="005A7AB6">
        <w:rPr>
          <w:sz w:val="20"/>
          <w:szCs w:val="20"/>
        </w:rPr>
        <w:t>s</w:t>
      </w:r>
      <w:r w:rsidR="005C01B4">
        <w:rPr>
          <w:sz w:val="20"/>
          <w:szCs w:val="20"/>
        </w:rPr>
        <w:t xml:space="preserve"> with</w:t>
      </w:r>
      <w:r w:rsidR="00AD085B" w:rsidRPr="00AD085B">
        <w:rPr>
          <w:sz w:val="20"/>
          <w:szCs w:val="20"/>
        </w:rPr>
        <w:t xml:space="preserve"> the encoded </w:t>
      </w:r>
      <w:r w:rsidR="005C01B4" w:rsidRPr="00E456C4">
        <w:rPr>
          <w:i/>
          <w:iCs/>
          <w:sz w:val="20"/>
          <w:szCs w:val="20"/>
        </w:rPr>
        <w:t xml:space="preserve">CellGroupConfig </w:t>
      </w:r>
      <w:r w:rsidR="008B0A81">
        <w:rPr>
          <w:sz w:val="20"/>
          <w:szCs w:val="20"/>
        </w:rPr>
        <w:t>IE</w:t>
      </w:r>
      <w:r w:rsidR="005A7AB6">
        <w:rPr>
          <w:sz w:val="20"/>
          <w:szCs w:val="20"/>
        </w:rPr>
        <w:t xml:space="preserve"> </w:t>
      </w:r>
      <w:r w:rsidR="00F3673D">
        <w:rPr>
          <w:sz w:val="20"/>
          <w:szCs w:val="20"/>
        </w:rPr>
        <w:t xml:space="preserve">in the corresponding </w:t>
      </w:r>
      <w:r w:rsidR="00AD085B" w:rsidRPr="00AD085B">
        <w:rPr>
          <w:sz w:val="20"/>
          <w:szCs w:val="20"/>
        </w:rPr>
        <w:t>F1 response</w:t>
      </w:r>
      <w:r w:rsidR="00F3673D">
        <w:rPr>
          <w:sz w:val="20"/>
          <w:szCs w:val="20"/>
        </w:rPr>
        <w:t xml:space="preserve"> message. </w:t>
      </w:r>
      <w:r w:rsidR="00AC7F4A" w:rsidRPr="00AC7F4A">
        <w:rPr>
          <w:sz w:val="20"/>
          <w:szCs w:val="20"/>
        </w:rPr>
        <w:t xml:space="preserve">In one cell, there is only one CD-SSB. However, in one cell, multiple different-frequency NCD-SSBs </w:t>
      </w:r>
      <w:r w:rsidR="008B0A81">
        <w:rPr>
          <w:sz w:val="20"/>
          <w:szCs w:val="20"/>
        </w:rPr>
        <w:t>dedicated</w:t>
      </w:r>
      <w:r w:rsidR="00AD4D55">
        <w:rPr>
          <w:sz w:val="20"/>
          <w:szCs w:val="20"/>
        </w:rPr>
        <w:t xml:space="preserve"> to RedCap UE </w:t>
      </w:r>
      <w:r w:rsidR="00AC7F4A" w:rsidRPr="00AC7F4A">
        <w:rPr>
          <w:sz w:val="20"/>
          <w:szCs w:val="20"/>
        </w:rPr>
        <w:t>may exist</w:t>
      </w:r>
      <w:r w:rsidR="007A594D">
        <w:rPr>
          <w:sz w:val="20"/>
          <w:szCs w:val="20"/>
        </w:rPr>
        <w:t xml:space="preserve"> </w:t>
      </w:r>
      <w:r w:rsidR="00AC7F4A">
        <w:rPr>
          <w:sz w:val="20"/>
          <w:szCs w:val="20"/>
        </w:rPr>
        <w:t xml:space="preserve">and </w:t>
      </w:r>
      <w:r w:rsidR="00AC7F4A" w:rsidRPr="003A263C">
        <w:rPr>
          <w:sz w:val="20"/>
          <w:szCs w:val="20"/>
        </w:rPr>
        <w:t xml:space="preserve">BWP with NCD-SSB is in different frequency </w:t>
      </w:r>
      <w:r w:rsidR="00C67D9F">
        <w:rPr>
          <w:sz w:val="20"/>
          <w:szCs w:val="20"/>
        </w:rPr>
        <w:t>than</w:t>
      </w:r>
      <w:r w:rsidR="00AC7F4A" w:rsidRPr="003A263C">
        <w:rPr>
          <w:sz w:val="20"/>
          <w:szCs w:val="20"/>
        </w:rPr>
        <w:t xml:space="preserve"> CD-SSB</w:t>
      </w:r>
      <w:r w:rsidR="00AC7F4A" w:rsidRPr="00AC7F4A">
        <w:rPr>
          <w:sz w:val="20"/>
          <w:szCs w:val="20"/>
        </w:rPr>
        <w:t>.</w:t>
      </w:r>
      <w:r w:rsidR="00AD085B" w:rsidRPr="00AD085B">
        <w:rPr>
          <w:sz w:val="20"/>
          <w:szCs w:val="20"/>
        </w:rPr>
        <w:t xml:space="preserve"> </w:t>
      </w:r>
    </w:p>
    <w:p w14:paraId="1985E3D7" w14:textId="77777777" w:rsidR="00A31993" w:rsidRPr="00A31993" w:rsidRDefault="00A31993" w:rsidP="00A31993">
      <w:pPr>
        <w:rPr>
          <w:sz w:val="20"/>
          <w:szCs w:val="20"/>
        </w:rPr>
      </w:pPr>
    </w:p>
    <w:p w14:paraId="0B081CCA" w14:textId="753E5057" w:rsidR="001C1717" w:rsidRPr="00AE672E" w:rsidRDefault="009A0E9A" w:rsidP="00AE672E">
      <w:pPr>
        <w:pStyle w:val="ListParagraph"/>
        <w:numPr>
          <w:ilvl w:val="0"/>
          <w:numId w:val="12"/>
        </w:numPr>
        <w:rPr>
          <w:b/>
          <w:bCs/>
          <w:sz w:val="20"/>
          <w:szCs w:val="20"/>
        </w:rPr>
      </w:pPr>
      <w:r w:rsidRPr="00AE672E">
        <w:rPr>
          <w:b/>
          <w:bCs/>
          <w:sz w:val="20"/>
          <w:szCs w:val="20"/>
        </w:rPr>
        <w:t xml:space="preserve">NCD-SSB is in different frequency from CD-SSB. Therefore, servingCellMOs pointing to NCD-SSB or CD-SSB are </w:t>
      </w:r>
      <w:r w:rsidR="00D57DD5" w:rsidRPr="00AE672E">
        <w:rPr>
          <w:b/>
          <w:bCs/>
          <w:sz w:val="20"/>
          <w:szCs w:val="20"/>
        </w:rPr>
        <w:t>different,</w:t>
      </w:r>
      <w:r w:rsidR="00A055EF" w:rsidRPr="00AE672E">
        <w:rPr>
          <w:b/>
          <w:bCs/>
          <w:sz w:val="20"/>
          <w:szCs w:val="20"/>
        </w:rPr>
        <w:t xml:space="preserve"> </w:t>
      </w:r>
    </w:p>
    <w:p w14:paraId="7F736704" w14:textId="77777777" w:rsidR="006E0BC3" w:rsidRDefault="006E0BC3" w:rsidP="006E0BC3">
      <w:pPr>
        <w:rPr>
          <w:sz w:val="20"/>
          <w:szCs w:val="20"/>
        </w:rPr>
      </w:pPr>
      <w:r>
        <w:rPr>
          <w:sz w:val="20"/>
          <w:szCs w:val="20"/>
        </w:rPr>
        <w:t>Hence</w:t>
      </w:r>
      <w:r w:rsidRPr="00AD085B">
        <w:rPr>
          <w:sz w:val="20"/>
          <w:szCs w:val="20"/>
        </w:rPr>
        <w:t xml:space="preserve">, </w:t>
      </w:r>
      <w:r>
        <w:rPr>
          <w:sz w:val="20"/>
          <w:szCs w:val="20"/>
        </w:rPr>
        <w:t>there are the following two issues:</w:t>
      </w:r>
    </w:p>
    <w:p w14:paraId="0EECAFF4" w14:textId="3BB65BBC" w:rsidR="006E0BC3" w:rsidRDefault="006E0BC3" w:rsidP="006E0BC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F66255">
        <w:rPr>
          <w:sz w:val="20"/>
          <w:szCs w:val="20"/>
        </w:rPr>
        <w:t>it is not possible for gNB-DU to configure RedCap UE on NCD-SSB when one servingCellMO can be pointing to different frequencies in the cell.</w:t>
      </w:r>
    </w:p>
    <w:p w14:paraId="5DEA0121" w14:textId="70A09370" w:rsidR="003C769C" w:rsidRPr="003C769C" w:rsidRDefault="003C769C" w:rsidP="003C769C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F66255">
        <w:rPr>
          <w:sz w:val="20"/>
          <w:szCs w:val="20"/>
        </w:rPr>
        <w:t xml:space="preserve">when gNB-CU delivers the servingCellMO to gNB-DU, the gNB-CU does not know if gNB-DU will choose active BWP with NCD-SSB or CD-SSB for UE </w:t>
      </w:r>
    </w:p>
    <w:p w14:paraId="22F5BB29" w14:textId="2312F24C" w:rsidR="00C7408F" w:rsidRPr="00410431" w:rsidRDefault="00F914C7" w:rsidP="003A263C">
      <w:pPr>
        <w:rPr>
          <w:sz w:val="20"/>
          <w:szCs w:val="20"/>
        </w:rPr>
      </w:pPr>
      <w:r>
        <w:rPr>
          <w:sz w:val="20"/>
          <w:szCs w:val="20"/>
        </w:rPr>
        <w:t>To address th</w:t>
      </w:r>
      <w:r w:rsidR="00DE006C">
        <w:rPr>
          <w:sz w:val="20"/>
          <w:szCs w:val="20"/>
        </w:rPr>
        <w:t>ese</w:t>
      </w:r>
      <w:r>
        <w:rPr>
          <w:sz w:val="20"/>
          <w:szCs w:val="20"/>
        </w:rPr>
        <w:t xml:space="preserve"> issue</w:t>
      </w:r>
      <w:r w:rsidR="00DE006C">
        <w:rPr>
          <w:sz w:val="20"/>
          <w:szCs w:val="20"/>
        </w:rPr>
        <w:t>s</w:t>
      </w:r>
      <w:r>
        <w:rPr>
          <w:sz w:val="20"/>
          <w:szCs w:val="20"/>
        </w:rPr>
        <w:t>, it is</w:t>
      </w:r>
      <w:r w:rsidR="00D9059E">
        <w:rPr>
          <w:sz w:val="20"/>
          <w:szCs w:val="20"/>
        </w:rPr>
        <w:t xml:space="preserve"> propose</w:t>
      </w:r>
      <w:r w:rsidR="003B4458">
        <w:rPr>
          <w:sz w:val="20"/>
          <w:szCs w:val="20"/>
        </w:rPr>
        <w:t>d</w:t>
      </w:r>
      <w:r w:rsidR="003B6245">
        <w:rPr>
          <w:sz w:val="20"/>
          <w:szCs w:val="20"/>
        </w:rPr>
        <w:t xml:space="preserve"> </w:t>
      </w:r>
      <w:r w:rsidR="00D9059E">
        <w:rPr>
          <w:sz w:val="20"/>
          <w:szCs w:val="20"/>
        </w:rPr>
        <w:t>that m</w:t>
      </w:r>
      <w:r w:rsidR="00D9059E" w:rsidRPr="00D9059E">
        <w:rPr>
          <w:sz w:val="20"/>
          <w:szCs w:val="20"/>
        </w:rPr>
        <w:t xml:space="preserve">ultiple servingcellMOs should be formed as a </w:t>
      </w:r>
      <w:r w:rsidR="003B6245">
        <w:rPr>
          <w:sz w:val="20"/>
          <w:szCs w:val="20"/>
        </w:rPr>
        <w:t xml:space="preserve">list of </w:t>
      </w:r>
      <w:r w:rsidR="00D9059E" w:rsidRPr="00D9059E">
        <w:rPr>
          <w:sz w:val="20"/>
          <w:szCs w:val="20"/>
        </w:rPr>
        <w:t>candidate servingCellMO</w:t>
      </w:r>
      <w:r w:rsidR="003B6245">
        <w:rPr>
          <w:sz w:val="20"/>
          <w:szCs w:val="20"/>
        </w:rPr>
        <w:t>s</w:t>
      </w:r>
      <w:r w:rsidR="001D65B0">
        <w:rPr>
          <w:sz w:val="20"/>
          <w:szCs w:val="20"/>
        </w:rPr>
        <w:t xml:space="preserve"> </w:t>
      </w:r>
      <w:r w:rsidR="00D9059E" w:rsidRPr="00D9059E">
        <w:rPr>
          <w:sz w:val="20"/>
          <w:szCs w:val="20"/>
        </w:rPr>
        <w:t xml:space="preserve">for NCD-SSBs </w:t>
      </w:r>
      <w:r w:rsidR="003B6245">
        <w:rPr>
          <w:sz w:val="20"/>
          <w:szCs w:val="20"/>
        </w:rPr>
        <w:t xml:space="preserve">that </w:t>
      </w:r>
      <w:r w:rsidR="00853310">
        <w:rPr>
          <w:sz w:val="20"/>
          <w:szCs w:val="20"/>
        </w:rPr>
        <w:t>contain</w:t>
      </w:r>
      <w:r w:rsidR="003B6245">
        <w:rPr>
          <w:sz w:val="20"/>
          <w:szCs w:val="20"/>
        </w:rPr>
        <w:t>s</w:t>
      </w:r>
      <w:r w:rsidR="00853310">
        <w:rPr>
          <w:sz w:val="20"/>
          <w:szCs w:val="20"/>
        </w:rPr>
        <w:t xml:space="preserve"> the </w:t>
      </w:r>
      <w:r w:rsidR="008A3A9B">
        <w:rPr>
          <w:sz w:val="20"/>
          <w:szCs w:val="20"/>
        </w:rPr>
        <w:t>NCD-</w:t>
      </w:r>
      <w:r w:rsidR="00853310" w:rsidRPr="003A263C">
        <w:rPr>
          <w:sz w:val="20"/>
          <w:szCs w:val="20"/>
        </w:rPr>
        <w:t>SSB frequency info</w:t>
      </w:r>
      <w:r w:rsidR="008A3A9B">
        <w:rPr>
          <w:sz w:val="20"/>
          <w:szCs w:val="20"/>
        </w:rPr>
        <w:t>rmation</w:t>
      </w:r>
      <w:r w:rsidR="002831E6">
        <w:rPr>
          <w:sz w:val="20"/>
          <w:szCs w:val="20"/>
        </w:rPr>
        <w:t xml:space="preserve"> </w:t>
      </w:r>
      <w:r w:rsidR="003B6245">
        <w:rPr>
          <w:sz w:val="20"/>
          <w:szCs w:val="20"/>
        </w:rPr>
        <w:t xml:space="preserve">sent by gNB-CU </w:t>
      </w:r>
      <w:r w:rsidR="00D9059E" w:rsidRPr="00D9059E">
        <w:rPr>
          <w:sz w:val="20"/>
          <w:szCs w:val="20"/>
        </w:rPr>
        <w:t xml:space="preserve">to </w:t>
      </w:r>
      <w:r w:rsidR="003B6245">
        <w:rPr>
          <w:sz w:val="20"/>
          <w:szCs w:val="20"/>
        </w:rPr>
        <w:t>gNB-</w:t>
      </w:r>
      <w:r w:rsidR="00D9059E" w:rsidRPr="00D9059E">
        <w:rPr>
          <w:sz w:val="20"/>
          <w:szCs w:val="20"/>
        </w:rPr>
        <w:t>DU in the UE CONTEXT SETUP REQUEST and UE CONTEXT MODIFICATION REQUEST m</w:t>
      </w:r>
      <w:r w:rsidR="001D65B0">
        <w:rPr>
          <w:sz w:val="20"/>
          <w:szCs w:val="20"/>
        </w:rPr>
        <w:t xml:space="preserve">essages, </w:t>
      </w:r>
      <w:r w:rsidR="000B3C44">
        <w:rPr>
          <w:sz w:val="20"/>
          <w:szCs w:val="20"/>
        </w:rPr>
        <w:t>so that</w:t>
      </w:r>
      <w:r w:rsidR="00D9059E" w:rsidRPr="00D9059E">
        <w:rPr>
          <w:sz w:val="20"/>
          <w:szCs w:val="20"/>
        </w:rPr>
        <w:t xml:space="preserve"> </w:t>
      </w:r>
      <w:r w:rsidR="003B6245">
        <w:rPr>
          <w:sz w:val="20"/>
          <w:szCs w:val="20"/>
        </w:rPr>
        <w:t>gNB-</w:t>
      </w:r>
      <w:r w:rsidR="00D9059E" w:rsidRPr="00D9059E">
        <w:rPr>
          <w:sz w:val="20"/>
          <w:szCs w:val="20"/>
        </w:rPr>
        <w:t xml:space="preserve">DU </w:t>
      </w:r>
      <w:r w:rsidR="000B3C44">
        <w:rPr>
          <w:sz w:val="20"/>
          <w:szCs w:val="20"/>
        </w:rPr>
        <w:t xml:space="preserve">can </w:t>
      </w:r>
      <w:r w:rsidR="00AD718C">
        <w:rPr>
          <w:sz w:val="20"/>
          <w:szCs w:val="20"/>
        </w:rPr>
        <w:t>choose the a</w:t>
      </w:r>
      <w:r w:rsidR="00462A46">
        <w:rPr>
          <w:sz w:val="20"/>
          <w:szCs w:val="20"/>
        </w:rPr>
        <w:t>ctive BWP for the UE</w:t>
      </w:r>
      <w:r w:rsidR="00410431">
        <w:rPr>
          <w:sz w:val="20"/>
          <w:szCs w:val="20"/>
        </w:rPr>
        <w:t xml:space="preserve"> and </w:t>
      </w:r>
      <w:r w:rsidR="00D9059E" w:rsidRPr="00D9059E">
        <w:rPr>
          <w:sz w:val="20"/>
          <w:szCs w:val="20"/>
        </w:rPr>
        <w:t xml:space="preserve">select the measurement configuration for NCD-SSB. </w:t>
      </w:r>
    </w:p>
    <w:p w14:paraId="2E15CDFD" w14:textId="61E09E33" w:rsidR="0060096E" w:rsidRDefault="0060096E" w:rsidP="003A263C">
      <w:pPr>
        <w:rPr>
          <w:sz w:val="20"/>
          <w:szCs w:val="20"/>
        </w:rPr>
      </w:pPr>
      <w:r>
        <w:rPr>
          <w:sz w:val="20"/>
          <w:szCs w:val="20"/>
        </w:rPr>
        <w:t>Regarding</w:t>
      </w:r>
      <w:r w:rsidRPr="0060096E">
        <w:rPr>
          <w:sz w:val="20"/>
          <w:szCs w:val="20"/>
        </w:rPr>
        <w:t xml:space="preserve"> the legacy </w:t>
      </w:r>
      <w:r w:rsidRPr="0060096E">
        <w:rPr>
          <w:i/>
          <w:iCs/>
          <w:sz w:val="20"/>
          <w:szCs w:val="20"/>
        </w:rPr>
        <w:t>servingCellMO</w:t>
      </w:r>
      <w:r w:rsidRPr="0060096E">
        <w:rPr>
          <w:sz w:val="20"/>
          <w:szCs w:val="20"/>
        </w:rPr>
        <w:t xml:space="preserve"> IE </w:t>
      </w:r>
      <w:r w:rsidR="00CC242A">
        <w:rPr>
          <w:sz w:val="20"/>
          <w:szCs w:val="20"/>
        </w:rPr>
        <w:t xml:space="preserve">currently </w:t>
      </w:r>
      <w:r>
        <w:rPr>
          <w:sz w:val="20"/>
          <w:szCs w:val="20"/>
        </w:rPr>
        <w:t xml:space="preserve">present </w:t>
      </w:r>
      <w:r w:rsidRPr="0060096E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the </w:t>
      </w:r>
      <w:r w:rsidRPr="0060096E">
        <w:rPr>
          <w:sz w:val="20"/>
          <w:szCs w:val="20"/>
        </w:rPr>
        <w:t>F1 request</w:t>
      </w:r>
      <w:r>
        <w:rPr>
          <w:sz w:val="20"/>
          <w:szCs w:val="20"/>
        </w:rPr>
        <w:t xml:space="preserve"> message, to keep backward-compatibility, it is proposed that </w:t>
      </w:r>
      <w:r w:rsidR="00CC242A">
        <w:rPr>
          <w:sz w:val="20"/>
          <w:szCs w:val="20"/>
        </w:rPr>
        <w:t>the IE</w:t>
      </w:r>
      <w:r w:rsidRPr="0060096E">
        <w:rPr>
          <w:sz w:val="20"/>
          <w:szCs w:val="20"/>
        </w:rPr>
        <w:t xml:space="preserve"> will always point to CD-SSB</w:t>
      </w:r>
      <w:r w:rsidR="00BA1BE2">
        <w:rPr>
          <w:sz w:val="20"/>
          <w:szCs w:val="20"/>
        </w:rPr>
        <w:t>,</w:t>
      </w:r>
      <w:r w:rsidRPr="0060096E">
        <w:rPr>
          <w:sz w:val="20"/>
          <w:szCs w:val="20"/>
        </w:rPr>
        <w:t xml:space="preserve"> </w:t>
      </w:r>
      <w:r>
        <w:rPr>
          <w:sz w:val="20"/>
          <w:szCs w:val="20"/>
        </w:rPr>
        <w:t>wh</w:t>
      </w:r>
      <w:r w:rsidR="00BA1BE2">
        <w:rPr>
          <w:sz w:val="20"/>
          <w:szCs w:val="20"/>
        </w:rPr>
        <w:t>ereas</w:t>
      </w:r>
      <w:r w:rsidRPr="0060096E">
        <w:rPr>
          <w:sz w:val="20"/>
          <w:szCs w:val="20"/>
        </w:rPr>
        <w:t xml:space="preserve"> the new optional </w:t>
      </w:r>
      <w:r w:rsidRPr="0060096E">
        <w:rPr>
          <w:i/>
          <w:iCs/>
          <w:sz w:val="20"/>
          <w:szCs w:val="20"/>
        </w:rPr>
        <w:t>ServingCellMO List</w:t>
      </w:r>
      <w:r w:rsidRPr="0060096E">
        <w:rPr>
          <w:sz w:val="20"/>
          <w:szCs w:val="20"/>
        </w:rPr>
        <w:t xml:space="preserve"> IE point</w:t>
      </w:r>
      <w:r>
        <w:rPr>
          <w:sz w:val="20"/>
          <w:szCs w:val="20"/>
        </w:rPr>
        <w:t>s</w:t>
      </w:r>
      <w:r w:rsidRPr="0060096E">
        <w:rPr>
          <w:sz w:val="20"/>
          <w:szCs w:val="20"/>
        </w:rPr>
        <w:t xml:space="preserve"> to NCD-SSBs</w:t>
      </w:r>
      <w:r>
        <w:rPr>
          <w:sz w:val="20"/>
          <w:szCs w:val="20"/>
        </w:rPr>
        <w:t>.</w:t>
      </w:r>
      <w:r w:rsidR="008A3A9B">
        <w:rPr>
          <w:sz w:val="20"/>
          <w:szCs w:val="20"/>
        </w:rPr>
        <w:t xml:space="preserve"> </w:t>
      </w:r>
    </w:p>
    <w:p w14:paraId="4EE9EF90" w14:textId="7745D571" w:rsidR="00410431" w:rsidRPr="00BA1BE2" w:rsidRDefault="00410431" w:rsidP="00BA1BE2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BA1BE2">
        <w:rPr>
          <w:b/>
          <w:bCs/>
          <w:sz w:val="20"/>
          <w:szCs w:val="20"/>
        </w:rPr>
        <w:t>Introduce a list of candidate ServingCellMOs with the NCD-SSB information (</w:t>
      </w:r>
      <w:r w:rsidRPr="00BA1BE2">
        <w:rPr>
          <w:b/>
          <w:bCs/>
          <w:i/>
          <w:iCs/>
          <w:sz w:val="20"/>
          <w:szCs w:val="20"/>
        </w:rPr>
        <w:t>servingCellMO List</w:t>
      </w:r>
      <w:r w:rsidRPr="00BA1BE2">
        <w:rPr>
          <w:b/>
          <w:bCs/>
          <w:sz w:val="20"/>
          <w:szCs w:val="20"/>
        </w:rPr>
        <w:t xml:space="preserve"> IE) in the UE CONTEXT SETUP REQUEST and UE CONTEXT MODIFICATION REQUEST messages so that </w:t>
      </w:r>
      <w:r w:rsidR="00265539" w:rsidRPr="00BA1BE2">
        <w:rPr>
          <w:b/>
          <w:bCs/>
          <w:sz w:val="20"/>
          <w:szCs w:val="20"/>
        </w:rPr>
        <w:t>gNB-</w:t>
      </w:r>
      <w:r w:rsidRPr="00BA1BE2">
        <w:rPr>
          <w:b/>
          <w:bCs/>
          <w:sz w:val="20"/>
          <w:szCs w:val="20"/>
        </w:rPr>
        <w:t>DU can select related measObjectId as servingCellMO for NCD-SSB</w:t>
      </w:r>
    </w:p>
    <w:p w14:paraId="7F983469" w14:textId="0121ED70" w:rsidR="00410431" w:rsidRDefault="00410431" w:rsidP="00615119">
      <w:pPr>
        <w:numPr>
          <w:ilvl w:val="0"/>
          <w:numId w:val="5"/>
        </w:numPr>
        <w:rPr>
          <w:b/>
          <w:bCs/>
          <w:sz w:val="20"/>
          <w:szCs w:val="20"/>
        </w:rPr>
      </w:pPr>
      <w:r w:rsidRPr="00410431">
        <w:rPr>
          <w:b/>
          <w:bCs/>
          <w:sz w:val="20"/>
          <w:szCs w:val="20"/>
        </w:rPr>
        <w:t>The SSB information contains the SSB frequency</w:t>
      </w:r>
    </w:p>
    <w:p w14:paraId="792FBE26" w14:textId="77777777" w:rsidR="00265539" w:rsidRPr="00265539" w:rsidRDefault="00265539" w:rsidP="00615119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65539">
        <w:rPr>
          <w:b/>
          <w:bCs/>
          <w:sz w:val="20"/>
          <w:szCs w:val="20"/>
        </w:rPr>
        <w:t xml:space="preserve">For backward-compatibility, the legacy </w:t>
      </w:r>
      <w:r w:rsidRPr="00C87D21">
        <w:rPr>
          <w:b/>
          <w:bCs/>
          <w:i/>
          <w:iCs/>
          <w:sz w:val="20"/>
          <w:szCs w:val="20"/>
        </w:rPr>
        <w:t>servingCellMO</w:t>
      </w:r>
      <w:r w:rsidRPr="00265539">
        <w:rPr>
          <w:b/>
          <w:bCs/>
          <w:sz w:val="20"/>
          <w:szCs w:val="20"/>
        </w:rPr>
        <w:t xml:space="preserve"> IE points to CD-SSB only</w:t>
      </w:r>
    </w:p>
    <w:p w14:paraId="691EE8C1" w14:textId="0C0A0EE1" w:rsidR="00FD2019" w:rsidRDefault="003A263C" w:rsidP="003A263C">
      <w:pPr>
        <w:rPr>
          <w:sz w:val="20"/>
          <w:szCs w:val="20"/>
        </w:rPr>
      </w:pPr>
      <w:r w:rsidRPr="00092E6A">
        <w:rPr>
          <w:sz w:val="20"/>
          <w:szCs w:val="20"/>
        </w:rPr>
        <w:t xml:space="preserve">Furthermore, feedback from </w:t>
      </w:r>
      <w:r w:rsidR="00265539">
        <w:rPr>
          <w:sz w:val="20"/>
          <w:szCs w:val="20"/>
        </w:rPr>
        <w:t>gNB-</w:t>
      </w:r>
      <w:r w:rsidRPr="00092E6A">
        <w:rPr>
          <w:sz w:val="20"/>
          <w:szCs w:val="20"/>
        </w:rPr>
        <w:t xml:space="preserve">DU to </w:t>
      </w:r>
      <w:r w:rsidR="00265539">
        <w:rPr>
          <w:sz w:val="20"/>
          <w:szCs w:val="20"/>
        </w:rPr>
        <w:t>gNB-</w:t>
      </w:r>
      <w:r w:rsidRPr="00092E6A">
        <w:rPr>
          <w:sz w:val="20"/>
          <w:szCs w:val="20"/>
        </w:rPr>
        <w:t>CU over F1AP is ne</w:t>
      </w:r>
      <w:r w:rsidR="00490656">
        <w:rPr>
          <w:sz w:val="20"/>
          <w:szCs w:val="20"/>
        </w:rPr>
        <w:t>cessary</w:t>
      </w:r>
      <w:r w:rsidRPr="00092E6A">
        <w:rPr>
          <w:sz w:val="20"/>
          <w:szCs w:val="20"/>
        </w:rPr>
        <w:t xml:space="preserve"> in case </w:t>
      </w:r>
      <w:r w:rsidR="00265539">
        <w:rPr>
          <w:sz w:val="20"/>
          <w:szCs w:val="20"/>
        </w:rPr>
        <w:t>gNB-</w:t>
      </w:r>
      <w:r w:rsidRPr="00092E6A">
        <w:rPr>
          <w:sz w:val="20"/>
          <w:szCs w:val="20"/>
        </w:rPr>
        <w:t xml:space="preserve">DU uses only a subset of the </w:t>
      </w:r>
      <w:r w:rsidRPr="00265539">
        <w:rPr>
          <w:i/>
          <w:iCs/>
          <w:sz w:val="20"/>
          <w:szCs w:val="20"/>
        </w:rPr>
        <w:t>servingCellMO list</w:t>
      </w:r>
      <w:r w:rsidRPr="00092E6A">
        <w:rPr>
          <w:sz w:val="20"/>
          <w:szCs w:val="20"/>
        </w:rPr>
        <w:t xml:space="preserve"> IE </w:t>
      </w:r>
      <w:r w:rsidR="00092E6A" w:rsidRPr="00092E6A">
        <w:rPr>
          <w:sz w:val="20"/>
          <w:szCs w:val="20"/>
        </w:rPr>
        <w:t xml:space="preserve">to be encoded in the </w:t>
      </w:r>
      <w:r w:rsidR="00092E6A" w:rsidRPr="00092E6A">
        <w:rPr>
          <w:i/>
          <w:iCs/>
          <w:sz w:val="20"/>
          <w:szCs w:val="20"/>
        </w:rPr>
        <w:t>CellGroupConfig</w:t>
      </w:r>
      <w:r w:rsidR="00C87D21">
        <w:rPr>
          <w:i/>
          <w:iCs/>
          <w:sz w:val="20"/>
          <w:szCs w:val="20"/>
        </w:rPr>
        <w:t xml:space="preserve"> </w:t>
      </w:r>
      <w:r w:rsidR="00C87D21">
        <w:rPr>
          <w:sz w:val="20"/>
          <w:szCs w:val="20"/>
        </w:rPr>
        <w:t>IE</w:t>
      </w:r>
      <w:r w:rsidRPr="00092E6A">
        <w:rPr>
          <w:sz w:val="20"/>
          <w:szCs w:val="20"/>
        </w:rPr>
        <w:t>, so that</w:t>
      </w:r>
      <w:r w:rsidR="003B4E32">
        <w:rPr>
          <w:sz w:val="20"/>
          <w:szCs w:val="20"/>
        </w:rPr>
        <w:t xml:space="preserve"> gNB-</w:t>
      </w:r>
      <w:r w:rsidRPr="00092E6A">
        <w:rPr>
          <w:sz w:val="20"/>
          <w:szCs w:val="20"/>
        </w:rPr>
        <w:t xml:space="preserve">CU </w:t>
      </w:r>
      <w:r w:rsidR="003B4E32">
        <w:rPr>
          <w:sz w:val="20"/>
          <w:szCs w:val="20"/>
        </w:rPr>
        <w:t xml:space="preserve">knows </w:t>
      </w:r>
      <w:r w:rsidR="003B4E32" w:rsidRPr="00490656">
        <w:rPr>
          <w:sz w:val="20"/>
          <w:szCs w:val="20"/>
        </w:rPr>
        <w:t>which measObjectID will be used by</w:t>
      </w:r>
      <w:r w:rsidR="003B4E32" w:rsidRPr="00092E6A">
        <w:rPr>
          <w:sz w:val="20"/>
          <w:szCs w:val="20"/>
        </w:rPr>
        <w:t xml:space="preserve"> </w:t>
      </w:r>
      <w:r w:rsidR="003B4E32">
        <w:rPr>
          <w:sz w:val="20"/>
          <w:szCs w:val="20"/>
        </w:rPr>
        <w:t xml:space="preserve">gNB-DU </w:t>
      </w:r>
      <w:r w:rsidR="00C87D21">
        <w:rPr>
          <w:sz w:val="20"/>
          <w:szCs w:val="20"/>
        </w:rPr>
        <w:t xml:space="preserve">and </w:t>
      </w:r>
      <w:r w:rsidRPr="00092E6A">
        <w:rPr>
          <w:sz w:val="20"/>
          <w:szCs w:val="20"/>
        </w:rPr>
        <w:t>can free up the resources for those unused measObjectIds</w:t>
      </w:r>
      <w:r w:rsidR="003B4E32">
        <w:rPr>
          <w:sz w:val="20"/>
          <w:szCs w:val="20"/>
        </w:rPr>
        <w:t xml:space="preserve"> for a given UE</w:t>
      </w:r>
      <w:r w:rsidR="00B07306">
        <w:rPr>
          <w:sz w:val="20"/>
          <w:szCs w:val="20"/>
        </w:rPr>
        <w:t xml:space="preserve"> and improve gNB-CU’s </w:t>
      </w:r>
      <w:r w:rsidR="00911692">
        <w:rPr>
          <w:sz w:val="20"/>
          <w:szCs w:val="20"/>
        </w:rPr>
        <w:t>efficiency</w:t>
      </w:r>
      <w:r w:rsidRPr="00092E6A">
        <w:rPr>
          <w:sz w:val="20"/>
          <w:szCs w:val="20"/>
        </w:rPr>
        <w:t xml:space="preserve">. </w:t>
      </w:r>
    </w:p>
    <w:p w14:paraId="30EEC27B" w14:textId="695E5751" w:rsidR="00092E6A" w:rsidRPr="00092E6A" w:rsidRDefault="00092E6A" w:rsidP="006C74BE">
      <w:pPr>
        <w:pStyle w:val="CommentText"/>
        <w:numPr>
          <w:ilvl w:val="0"/>
          <w:numId w:val="12"/>
        </w:numPr>
        <w:rPr>
          <w:b/>
          <w:bCs/>
        </w:rPr>
      </w:pPr>
      <w:r w:rsidRPr="00092E6A">
        <w:rPr>
          <w:b/>
          <w:bCs/>
        </w:rPr>
        <w:lastRenderedPageBreak/>
        <w:t xml:space="preserve">It is beneficial for </w:t>
      </w:r>
      <w:r w:rsidR="00B66DCD">
        <w:rPr>
          <w:b/>
          <w:bCs/>
        </w:rPr>
        <w:t>gNB-</w:t>
      </w:r>
      <w:r w:rsidRPr="00092E6A">
        <w:rPr>
          <w:b/>
          <w:bCs/>
        </w:rPr>
        <w:t>CU to know the number of servingCellMO which could be encoded in the CellGroupConfig to one specific UE</w:t>
      </w:r>
      <w:r w:rsidR="00EB7621">
        <w:rPr>
          <w:b/>
          <w:bCs/>
        </w:rPr>
        <w:t xml:space="preserve"> as </w:t>
      </w:r>
      <w:r w:rsidR="00EB7621" w:rsidRPr="00EB7621">
        <w:rPr>
          <w:b/>
          <w:bCs/>
        </w:rPr>
        <w:t xml:space="preserve">it will improve </w:t>
      </w:r>
      <w:r w:rsidR="00F10A28">
        <w:rPr>
          <w:b/>
          <w:bCs/>
        </w:rPr>
        <w:t>gNB-</w:t>
      </w:r>
      <w:r w:rsidR="00EB7621" w:rsidRPr="00EB7621">
        <w:rPr>
          <w:b/>
          <w:bCs/>
        </w:rPr>
        <w:t>CU’s efficiency</w:t>
      </w:r>
      <w:r w:rsidRPr="00092E6A">
        <w:rPr>
          <w:b/>
          <w:bCs/>
        </w:rPr>
        <w:t xml:space="preserve"> </w:t>
      </w:r>
      <w:r w:rsidR="004A4742" w:rsidRPr="004A4742">
        <w:rPr>
          <w:b/>
          <w:bCs/>
        </w:rPr>
        <w:t>to release unused Measurement Object IDs.</w:t>
      </w:r>
    </w:p>
    <w:p w14:paraId="2B7EC1BB" w14:textId="67869559" w:rsidR="00AB7C9E" w:rsidRDefault="00E9120E" w:rsidP="00482C90">
      <w:pPr>
        <w:rPr>
          <w:sz w:val="20"/>
          <w:szCs w:val="20"/>
        </w:rPr>
      </w:pPr>
      <w:r>
        <w:rPr>
          <w:sz w:val="20"/>
          <w:szCs w:val="20"/>
        </w:rPr>
        <w:t xml:space="preserve">The feedback from gNB-DU </w:t>
      </w:r>
      <w:r w:rsidR="003F463D">
        <w:rPr>
          <w:sz w:val="20"/>
          <w:szCs w:val="20"/>
        </w:rPr>
        <w:t xml:space="preserve">will also help </w:t>
      </w:r>
      <w:r>
        <w:rPr>
          <w:sz w:val="20"/>
          <w:szCs w:val="20"/>
        </w:rPr>
        <w:t>gNB-</w:t>
      </w:r>
      <w:r w:rsidRPr="00490656">
        <w:rPr>
          <w:sz w:val="20"/>
          <w:szCs w:val="20"/>
        </w:rPr>
        <w:t>CU</w:t>
      </w:r>
      <w:r w:rsidR="003F463D">
        <w:rPr>
          <w:sz w:val="20"/>
          <w:szCs w:val="20"/>
        </w:rPr>
        <w:t xml:space="preserve"> </w:t>
      </w:r>
      <w:r w:rsidRPr="00490656">
        <w:rPr>
          <w:sz w:val="20"/>
          <w:szCs w:val="20"/>
        </w:rPr>
        <w:t xml:space="preserve">determine </w:t>
      </w:r>
      <w:r>
        <w:rPr>
          <w:sz w:val="20"/>
          <w:szCs w:val="20"/>
        </w:rPr>
        <w:t xml:space="preserve">the </w:t>
      </w:r>
      <w:r w:rsidRPr="00490656">
        <w:rPr>
          <w:sz w:val="20"/>
          <w:szCs w:val="20"/>
        </w:rPr>
        <w:t xml:space="preserve">need </w:t>
      </w:r>
      <w:r w:rsidR="00B07306">
        <w:rPr>
          <w:sz w:val="20"/>
          <w:szCs w:val="20"/>
        </w:rPr>
        <w:t>for</w:t>
      </w:r>
      <w:r w:rsidRPr="00490656">
        <w:rPr>
          <w:sz w:val="20"/>
          <w:szCs w:val="20"/>
        </w:rPr>
        <w:t xml:space="preserve"> Measurement Gaps based on </w:t>
      </w:r>
      <w:r w:rsidR="00AF501B" w:rsidRPr="00AF501B">
        <w:rPr>
          <w:sz w:val="20"/>
          <w:szCs w:val="20"/>
        </w:rPr>
        <w:t>UE’s current servingCellMO and the encoded-in-CGC servingCellMO list (</w:t>
      </w:r>
      <w:r w:rsidR="00AF501B" w:rsidRPr="00AF501B">
        <w:rPr>
          <w:i/>
          <w:iCs/>
          <w:sz w:val="20"/>
          <w:szCs w:val="20"/>
        </w:rPr>
        <w:t>ServingCellMO-encoded-in-CGC List</w:t>
      </w:r>
      <w:r w:rsidR="00AF501B" w:rsidRPr="00AF501B">
        <w:rPr>
          <w:sz w:val="20"/>
          <w:szCs w:val="20"/>
        </w:rPr>
        <w:t xml:space="preserve"> IE</w:t>
      </w:r>
      <w:r w:rsidR="00AF501B">
        <w:rPr>
          <w:sz w:val="20"/>
          <w:szCs w:val="20"/>
        </w:rPr>
        <w:t xml:space="preserve">) </w:t>
      </w:r>
      <w:r w:rsidR="001900B2">
        <w:rPr>
          <w:sz w:val="20"/>
          <w:szCs w:val="20"/>
        </w:rPr>
        <w:t xml:space="preserve">from </w:t>
      </w:r>
      <w:r w:rsidR="00F10A28">
        <w:rPr>
          <w:sz w:val="20"/>
          <w:szCs w:val="20"/>
        </w:rPr>
        <w:t>the</w:t>
      </w:r>
      <w:r w:rsidR="00AF501B" w:rsidRPr="00AF501B">
        <w:rPr>
          <w:sz w:val="20"/>
          <w:szCs w:val="20"/>
        </w:rPr>
        <w:t xml:space="preserve"> </w:t>
      </w:r>
      <w:r>
        <w:rPr>
          <w:sz w:val="20"/>
          <w:szCs w:val="20"/>
        </w:rPr>
        <w:t>gNB-</w:t>
      </w:r>
      <w:r w:rsidRPr="00490656">
        <w:rPr>
          <w:sz w:val="20"/>
          <w:szCs w:val="20"/>
        </w:rPr>
        <w:t xml:space="preserve">DU </w:t>
      </w:r>
      <w:r w:rsidR="001900B2">
        <w:rPr>
          <w:sz w:val="20"/>
          <w:szCs w:val="20"/>
        </w:rPr>
        <w:t xml:space="preserve">with the </w:t>
      </w:r>
      <w:r w:rsidRPr="00490656">
        <w:rPr>
          <w:sz w:val="20"/>
          <w:szCs w:val="20"/>
        </w:rPr>
        <w:t>selected BWPs</w:t>
      </w:r>
      <w:r w:rsidR="001900B2">
        <w:rPr>
          <w:sz w:val="20"/>
          <w:szCs w:val="20"/>
        </w:rPr>
        <w:t>.</w:t>
      </w:r>
      <w:r w:rsidRPr="00490656">
        <w:rPr>
          <w:sz w:val="20"/>
          <w:szCs w:val="20"/>
        </w:rPr>
        <w:t xml:space="preserve"> </w:t>
      </w:r>
      <w:r w:rsidR="001900B2">
        <w:rPr>
          <w:sz w:val="20"/>
          <w:szCs w:val="20"/>
        </w:rPr>
        <w:t>A</w:t>
      </w:r>
      <w:r w:rsidRPr="00490656">
        <w:rPr>
          <w:sz w:val="20"/>
          <w:szCs w:val="20"/>
        </w:rPr>
        <w:t>nd also by taking neighbor cell intra vs inter freq</w:t>
      </w:r>
      <w:r>
        <w:rPr>
          <w:sz w:val="20"/>
          <w:szCs w:val="20"/>
        </w:rPr>
        <w:t>uency</w:t>
      </w:r>
      <w:r w:rsidRPr="00490656">
        <w:rPr>
          <w:sz w:val="20"/>
          <w:szCs w:val="20"/>
        </w:rPr>
        <w:t xml:space="preserve"> measurement configuration into consideration</w:t>
      </w:r>
      <w:r w:rsidR="007A4A74">
        <w:rPr>
          <w:sz w:val="20"/>
          <w:szCs w:val="20"/>
        </w:rPr>
        <w:t>,</w:t>
      </w:r>
      <w:r w:rsidR="004D5A2F">
        <w:rPr>
          <w:sz w:val="20"/>
          <w:szCs w:val="20"/>
        </w:rPr>
        <w:t xml:space="preserve"> </w:t>
      </w:r>
      <w:r w:rsidR="007A4A74">
        <w:rPr>
          <w:sz w:val="20"/>
          <w:szCs w:val="20"/>
        </w:rPr>
        <w:t>since gNB-CU knows neighbor cell information</w:t>
      </w:r>
      <w:r w:rsidRPr="00490656">
        <w:rPr>
          <w:sz w:val="20"/>
          <w:szCs w:val="20"/>
        </w:rPr>
        <w:t xml:space="preserve">. </w:t>
      </w:r>
      <w:r w:rsidR="004D5A2F">
        <w:rPr>
          <w:sz w:val="20"/>
          <w:szCs w:val="20"/>
        </w:rPr>
        <w:t>The gNB-CU can then</w:t>
      </w:r>
      <w:r w:rsidR="004D5A2F" w:rsidRPr="00092E6A">
        <w:rPr>
          <w:sz w:val="20"/>
          <w:szCs w:val="20"/>
        </w:rPr>
        <w:t xml:space="preserve"> send a request</w:t>
      </w:r>
      <w:r w:rsidR="004D5A2F">
        <w:rPr>
          <w:sz w:val="20"/>
          <w:szCs w:val="20"/>
        </w:rPr>
        <w:t>, if needed,</w:t>
      </w:r>
      <w:r w:rsidR="004D5A2F" w:rsidRPr="00092E6A">
        <w:rPr>
          <w:sz w:val="20"/>
          <w:szCs w:val="20"/>
        </w:rPr>
        <w:t xml:space="preserve"> to </w:t>
      </w:r>
      <w:r w:rsidR="004D5A2F">
        <w:rPr>
          <w:sz w:val="20"/>
          <w:szCs w:val="20"/>
        </w:rPr>
        <w:t>gNB-</w:t>
      </w:r>
      <w:r w:rsidR="004D5A2F" w:rsidRPr="00092E6A">
        <w:rPr>
          <w:sz w:val="20"/>
          <w:szCs w:val="20"/>
        </w:rPr>
        <w:t xml:space="preserve">DU for configuring </w:t>
      </w:r>
      <w:r w:rsidR="004D5A2F">
        <w:rPr>
          <w:sz w:val="20"/>
          <w:szCs w:val="20"/>
        </w:rPr>
        <w:t>measurement Gap</w:t>
      </w:r>
      <w:r w:rsidR="0048265D">
        <w:rPr>
          <w:sz w:val="20"/>
          <w:szCs w:val="20"/>
        </w:rPr>
        <w:t xml:space="preserve"> for the UE</w:t>
      </w:r>
      <w:r w:rsidR="00AF501B">
        <w:rPr>
          <w:sz w:val="20"/>
          <w:szCs w:val="20"/>
        </w:rPr>
        <w:t>.</w:t>
      </w:r>
    </w:p>
    <w:p w14:paraId="34A379F3" w14:textId="2DCE8133" w:rsidR="00482C90" w:rsidRDefault="00AA3E02" w:rsidP="00482C90">
      <w:pPr>
        <w:rPr>
          <w:sz w:val="20"/>
          <w:szCs w:val="20"/>
        </w:rPr>
      </w:pPr>
      <w:r>
        <w:rPr>
          <w:sz w:val="20"/>
          <w:szCs w:val="20"/>
        </w:rPr>
        <w:t xml:space="preserve">(Note: </w:t>
      </w:r>
      <w:r w:rsidR="00482C90" w:rsidRPr="00092E6A">
        <w:rPr>
          <w:sz w:val="20"/>
          <w:szCs w:val="20"/>
        </w:rPr>
        <w:t xml:space="preserve">According to 38.331, </w:t>
      </w:r>
      <w:r w:rsidR="002C1E2D">
        <w:rPr>
          <w:sz w:val="20"/>
          <w:szCs w:val="20"/>
        </w:rPr>
        <w:t xml:space="preserve">there is </w:t>
      </w:r>
      <w:r w:rsidR="00482C90" w:rsidRPr="00092E6A">
        <w:rPr>
          <w:sz w:val="20"/>
          <w:szCs w:val="20"/>
        </w:rPr>
        <w:t>at most 4 regular NCD-SSB BWP and one initial BWP with CD-SSB or NCD-SSB.</w:t>
      </w:r>
      <w:r w:rsidR="00A570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 propose that </w:t>
      </w:r>
      <w:r w:rsidR="00A57049">
        <w:rPr>
          <w:sz w:val="20"/>
          <w:szCs w:val="20"/>
        </w:rPr>
        <w:t>8 can be used as maximum value for future-proofness.</w:t>
      </w:r>
      <w:r>
        <w:rPr>
          <w:sz w:val="20"/>
          <w:szCs w:val="20"/>
        </w:rPr>
        <w:t>)</w:t>
      </w:r>
    </w:p>
    <w:p w14:paraId="27DA743C" w14:textId="6348A620" w:rsidR="002F79D5" w:rsidRPr="0048265D" w:rsidRDefault="002F79D5" w:rsidP="0048265D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48265D">
        <w:rPr>
          <w:b/>
          <w:bCs/>
          <w:sz w:val="20"/>
          <w:szCs w:val="20"/>
        </w:rPr>
        <w:t>The UE’s current servingCellMO and the encoded-in-CGC servingCellMO list (</w:t>
      </w:r>
      <w:r w:rsidRPr="0048265D">
        <w:rPr>
          <w:b/>
          <w:bCs/>
          <w:i/>
          <w:iCs/>
          <w:sz w:val="20"/>
          <w:szCs w:val="20"/>
        </w:rPr>
        <w:t>ServingCellMO-encoded-in-CGC List</w:t>
      </w:r>
      <w:r w:rsidRPr="0048265D">
        <w:rPr>
          <w:b/>
          <w:bCs/>
          <w:sz w:val="20"/>
          <w:szCs w:val="20"/>
        </w:rPr>
        <w:t xml:space="preserve"> IE) are notified from gNB-DU to gNB-CU in the F1 UE CONTEXT SETUP RESPONSE and UE CONTEXT MODIFICATION RESPONSE messages so that gNB-CU determines the need of measurements GAPs based on DU selected BWPs.</w:t>
      </w:r>
    </w:p>
    <w:p w14:paraId="02A9F57F" w14:textId="2472D252" w:rsidR="002F79D5" w:rsidRPr="00AB7C9E" w:rsidRDefault="002F79D5" w:rsidP="002F79D5">
      <w:pPr>
        <w:rPr>
          <w:sz w:val="20"/>
          <w:szCs w:val="20"/>
        </w:rPr>
      </w:pPr>
      <w:r>
        <w:rPr>
          <w:sz w:val="20"/>
          <w:szCs w:val="20"/>
        </w:rPr>
        <w:t xml:space="preserve">Additionally, it is proposed to also indicate the </w:t>
      </w:r>
      <w:r w:rsidRPr="00893BE6">
        <w:rPr>
          <w:sz w:val="20"/>
          <w:szCs w:val="20"/>
        </w:rPr>
        <w:t xml:space="preserve">Active BWP Location And Bandwidth </w:t>
      </w:r>
      <w:r w:rsidR="00832F45">
        <w:rPr>
          <w:sz w:val="20"/>
          <w:szCs w:val="20"/>
        </w:rPr>
        <w:t>information</w:t>
      </w:r>
      <w:r>
        <w:rPr>
          <w:sz w:val="20"/>
          <w:szCs w:val="20"/>
        </w:rPr>
        <w:t xml:space="preserve"> </w:t>
      </w:r>
      <w:r w:rsidRPr="00893BE6">
        <w:rPr>
          <w:sz w:val="20"/>
          <w:szCs w:val="20"/>
        </w:rPr>
        <w:t>in the UE CONTEXT SETUP RESPONSE and UE CONTEXT MODIFICATION RESPONSE messages</w:t>
      </w:r>
      <w:r w:rsidR="00832F45">
        <w:rPr>
          <w:sz w:val="20"/>
          <w:szCs w:val="20"/>
        </w:rPr>
        <w:t xml:space="preserve"> to gNB-CU</w:t>
      </w:r>
      <w:r>
        <w:rPr>
          <w:sz w:val="20"/>
          <w:szCs w:val="20"/>
        </w:rPr>
        <w:t xml:space="preserve">. This is needed for the </w:t>
      </w:r>
      <w:r w:rsidRPr="00AB7C9E">
        <w:rPr>
          <w:sz w:val="20"/>
          <w:szCs w:val="20"/>
        </w:rPr>
        <w:t>two scenarios (at least):</w:t>
      </w:r>
    </w:p>
    <w:p w14:paraId="4D3BB87E" w14:textId="77777777" w:rsidR="002F79D5" w:rsidRPr="00AB7C9E" w:rsidRDefault="002F79D5" w:rsidP="002F79D5">
      <w:pPr>
        <w:numPr>
          <w:ilvl w:val="0"/>
          <w:numId w:val="6"/>
        </w:numPr>
        <w:rPr>
          <w:sz w:val="20"/>
          <w:szCs w:val="20"/>
        </w:rPr>
      </w:pPr>
      <w:r w:rsidRPr="00AB7C9E">
        <w:rPr>
          <w:sz w:val="20"/>
          <w:szCs w:val="20"/>
        </w:rPr>
        <w:t>Case 1: UE’s active BWP is an NCD-SSB BWP</w:t>
      </w:r>
      <w:r>
        <w:rPr>
          <w:sz w:val="20"/>
          <w:szCs w:val="20"/>
        </w:rPr>
        <w:t xml:space="preserve"> </w:t>
      </w:r>
      <w:r w:rsidRPr="006C3A9B">
        <w:rPr>
          <w:sz w:val="20"/>
          <w:szCs w:val="20"/>
        </w:rPr>
        <w:t>(</w:t>
      </w:r>
      <w:r w:rsidRPr="00AB7C9E">
        <w:rPr>
          <w:i/>
          <w:iCs/>
          <w:sz w:val="20"/>
          <w:szCs w:val="20"/>
        </w:rPr>
        <w:t>BWP-DownlinkDedicated IE -&gt; nonCellDefiningSSB-r17 IE</w:t>
      </w:r>
      <w:r w:rsidRPr="00AB7C9E">
        <w:rPr>
          <w:sz w:val="20"/>
          <w:szCs w:val="20"/>
        </w:rPr>
        <w:t xml:space="preserve"> is present in RRC msg</w:t>
      </w:r>
      <w:r w:rsidRPr="006C3A9B">
        <w:rPr>
          <w:sz w:val="20"/>
          <w:szCs w:val="20"/>
        </w:rPr>
        <w:t>)</w:t>
      </w:r>
      <w:r w:rsidRPr="00AB7C9E">
        <w:rPr>
          <w:sz w:val="20"/>
          <w:szCs w:val="20"/>
        </w:rPr>
        <w:t xml:space="preserve">. But UE’s current used servingCellMO points to CD-SSB. </w:t>
      </w:r>
    </w:p>
    <w:p w14:paraId="07218BD3" w14:textId="77777777" w:rsidR="002F79D5" w:rsidRPr="006C3A9B" w:rsidRDefault="002F79D5" w:rsidP="002F79D5">
      <w:pPr>
        <w:numPr>
          <w:ilvl w:val="0"/>
          <w:numId w:val="6"/>
        </w:numPr>
        <w:rPr>
          <w:sz w:val="20"/>
          <w:szCs w:val="20"/>
        </w:rPr>
      </w:pPr>
      <w:r w:rsidRPr="00AB7C9E">
        <w:rPr>
          <w:sz w:val="20"/>
          <w:szCs w:val="20"/>
        </w:rPr>
        <w:t>Case 2: UE’s active BWP is a BWP without any SSB</w:t>
      </w:r>
      <w:r>
        <w:rPr>
          <w:sz w:val="20"/>
          <w:szCs w:val="20"/>
        </w:rPr>
        <w:t xml:space="preserve"> (</w:t>
      </w:r>
      <w:r w:rsidRPr="00AB7C9E">
        <w:rPr>
          <w:i/>
          <w:iCs/>
          <w:sz w:val="20"/>
          <w:szCs w:val="20"/>
        </w:rPr>
        <w:t>BWP-DownlinkDedicated IE -&gt; nonCellDefiningSSB-r17 IE</w:t>
      </w:r>
      <w:r w:rsidRPr="00AB7C9E">
        <w:rPr>
          <w:sz w:val="20"/>
          <w:szCs w:val="20"/>
        </w:rPr>
        <w:t xml:space="preserve"> is </w:t>
      </w:r>
      <w:r w:rsidRPr="00AB7C9E">
        <w:rPr>
          <w:sz w:val="20"/>
          <w:szCs w:val="20"/>
          <w:u w:val="single"/>
        </w:rPr>
        <w:t>not</w:t>
      </w:r>
      <w:r w:rsidRPr="00AB7C9E">
        <w:rPr>
          <w:sz w:val="20"/>
          <w:szCs w:val="20"/>
        </w:rPr>
        <w:t xml:space="preserve"> present, either CD-SSB is not within BWP’s frequency range</w:t>
      </w:r>
      <w:r>
        <w:rPr>
          <w:sz w:val="20"/>
          <w:szCs w:val="20"/>
        </w:rPr>
        <w:t>)</w:t>
      </w:r>
      <w:r w:rsidRPr="00AB7C9E">
        <w:rPr>
          <w:sz w:val="20"/>
          <w:szCs w:val="20"/>
        </w:rPr>
        <w:t xml:space="preserve">. UE’s current used servingCellMO points to CD-SSB. </w:t>
      </w:r>
    </w:p>
    <w:p w14:paraId="2CFDE429" w14:textId="296740D7" w:rsidR="002F79D5" w:rsidRDefault="002F79D5" w:rsidP="002F79D5">
      <w:pPr>
        <w:rPr>
          <w:sz w:val="20"/>
          <w:szCs w:val="20"/>
        </w:rPr>
      </w:pPr>
      <w:r w:rsidRPr="002F79D5">
        <w:rPr>
          <w:sz w:val="20"/>
          <w:szCs w:val="20"/>
        </w:rPr>
        <w:t>In our understanding in both cases, for backward compatibility,</w:t>
      </w:r>
      <w:r w:rsidR="00832F45">
        <w:rPr>
          <w:sz w:val="20"/>
          <w:szCs w:val="20"/>
        </w:rPr>
        <w:t xml:space="preserve"> the new</w:t>
      </w:r>
      <w:r w:rsidRPr="002F79D5">
        <w:rPr>
          <w:sz w:val="20"/>
          <w:szCs w:val="20"/>
        </w:rPr>
        <w:t xml:space="preserve"> </w:t>
      </w:r>
      <w:r w:rsidRPr="002F79D5">
        <w:rPr>
          <w:i/>
          <w:iCs/>
          <w:sz w:val="20"/>
          <w:szCs w:val="20"/>
        </w:rPr>
        <w:t>ServingCellMO-encoded-in-CGC List</w:t>
      </w:r>
      <w:r w:rsidRPr="002F79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IE </w:t>
      </w:r>
      <w:r w:rsidRPr="002F79D5">
        <w:rPr>
          <w:sz w:val="20"/>
          <w:szCs w:val="20"/>
        </w:rPr>
        <w:t xml:space="preserve">is not present in the F1 response, but </w:t>
      </w:r>
      <w:r>
        <w:rPr>
          <w:sz w:val="20"/>
          <w:szCs w:val="20"/>
        </w:rPr>
        <w:t>gNB-</w:t>
      </w:r>
      <w:r w:rsidRPr="002F79D5">
        <w:rPr>
          <w:sz w:val="20"/>
          <w:szCs w:val="20"/>
        </w:rPr>
        <w:t xml:space="preserve">CU needs to know UE’s active BWP location and bandwidth as the reference to decide whether measurement GAP is required for neighbor cell measurement and serving cell measurement. </w:t>
      </w:r>
    </w:p>
    <w:p w14:paraId="132BBF92" w14:textId="48DC4B07" w:rsidR="00BD6D40" w:rsidRPr="006C74BE" w:rsidRDefault="00BD6D40" w:rsidP="006C74BE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6C74BE">
        <w:rPr>
          <w:b/>
          <w:bCs/>
          <w:sz w:val="20"/>
          <w:szCs w:val="20"/>
        </w:rPr>
        <w:t xml:space="preserve">Introduce the </w:t>
      </w:r>
      <w:r w:rsidRPr="006C74BE">
        <w:rPr>
          <w:b/>
          <w:bCs/>
          <w:i/>
          <w:iCs/>
          <w:sz w:val="20"/>
          <w:szCs w:val="20"/>
        </w:rPr>
        <w:t>Active BWP Location And Bandwidth</w:t>
      </w:r>
      <w:r w:rsidRPr="006C74BE">
        <w:rPr>
          <w:b/>
          <w:bCs/>
          <w:sz w:val="20"/>
          <w:szCs w:val="20"/>
        </w:rPr>
        <w:t xml:space="preserve"> IE in the UE CONTEXT SETUP RESPONSE and UE CONTEXT MODIFICATION RESPONSE messages</w:t>
      </w:r>
    </w:p>
    <w:p w14:paraId="2FE0513E" w14:textId="162CDA0C" w:rsidR="00272C2E" w:rsidRDefault="00094F1E" w:rsidP="00C7408F">
      <w:pPr>
        <w:rPr>
          <w:sz w:val="20"/>
          <w:szCs w:val="20"/>
        </w:rPr>
      </w:pPr>
      <w:r>
        <w:rPr>
          <w:sz w:val="20"/>
          <w:szCs w:val="20"/>
        </w:rPr>
        <w:t xml:space="preserve">It was mentioned </w:t>
      </w:r>
      <w:r w:rsidR="00F9052F">
        <w:rPr>
          <w:sz w:val="20"/>
          <w:szCs w:val="20"/>
        </w:rPr>
        <w:t xml:space="preserve">during an </w:t>
      </w:r>
      <w:r>
        <w:rPr>
          <w:sz w:val="20"/>
          <w:szCs w:val="20"/>
        </w:rPr>
        <w:t xml:space="preserve">offline </w:t>
      </w:r>
      <w:r w:rsidR="00F9052F">
        <w:rPr>
          <w:sz w:val="20"/>
          <w:szCs w:val="20"/>
        </w:rPr>
        <w:t xml:space="preserve">discussion </w:t>
      </w:r>
      <w:r>
        <w:rPr>
          <w:sz w:val="20"/>
          <w:szCs w:val="20"/>
        </w:rPr>
        <w:t xml:space="preserve">that </w:t>
      </w:r>
      <w:r w:rsidR="00773497">
        <w:rPr>
          <w:sz w:val="20"/>
          <w:szCs w:val="20"/>
        </w:rPr>
        <w:t>the issue to support NCD-SSB creates additional F1 signalling. This is not correct</w:t>
      </w:r>
      <w:r w:rsidR="0029086C">
        <w:rPr>
          <w:sz w:val="20"/>
          <w:szCs w:val="20"/>
        </w:rPr>
        <w:t xml:space="preserve"> in all </w:t>
      </w:r>
      <w:r w:rsidR="004C5437">
        <w:rPr>
          <w:sz w:val="20"/>
          <w:szCs w:val="20"/>
        </w:rPr>
        <w:t>scenarios</w:t>
      </w:r>
      <w:r w:rsidR="0029086C">
        <w:rPr>
          <w:sz w:val="20"/>
          <w:szCs w:val="20"/>
        </w:rPr>
        <w:t xml:space="preserve"> W</w:t>
      </w:r>
      <w:r w:rsidR="0065419B">
        <w:rPr>
          <w:sz w:val="20"/>
          <w:szCs w:val="20"/>
        </w:rPr>
        <w:t xml:space="preserve">e </w:t>
      </w:r>
      <w:r>
        <w:rPr>
          <w:sz w:val="20"/>
          <w:szCs w:val="20"/>
        </w:rPr>
        <w:t>illustrate</w:t>
      </w:r>
      <w:r w:rsidR="0065419B">
        <w:rPr>
          <w:sz w:val="20"/>
          <w:szCs w:val="20"/>
        </w:rPr>
        <w:t xml:space="preserve"> below </w:t>
      </w:r>
      <w:r w:rsidR="0029086C">
        <w:rPr>
          <w:sz w:val="20"/>
          <w:szCs w:val="20"/>
        </w:rPr>
        <w:t xml:space="preserve">with an </w:t>
      </w:r>
      <w:r w:rsidR="0065419B">
        <w:rPr>
          <w:sz w:val="20"/>
          <w:szCs w:val="20"/>
        </w:rPr>
        <w:t xml:space="preserve">example for </w:t>
      </w:r>
      <w:r w:rsidR="00FE4492" w:rsidRPr="00FE4492">
        <w:rPr>
          <w:sz w:val="20"/>
          <w:szCs w:val="20"/>
        </w:rPr>
        <w:t>Intra-gNB_DU HO scenario</w:t>
      </w:r>
      <w:r w:rsidR="0065419B">
        <w:rPr>
          <w:sz w:val="20"/>
          <w:szCs w:val="20"/>
        </w:rPr>
        <w:t xml:space="preserve">. </w:t>
      </w:r>
      <w:r w:rsidR="004D10D2">
        <w:rPr>
          <w:sz w:val="20"/>
          <w:szCs w:val="20"/>
        </w:rPr>
        <w:t>In fact, a</w:t>
      </w:r>
      <w:r w:rsidR="00FE4492" w:rsidRPr="00FE4492">
        <w:rPr>
          <w:sz w:val="20"/>
          <w:szCs w:val="20"/>
        </w:rPr>
        <w:t xml:space="preserve">ccording to </w:t>
      </w:r>
      <w:r w:rsidR="0065419B">
        <w:rPr>
          <w:sz w:val="20"/>
          <w:szCs w:val="20"/>
        </w:rPr>
        <w:t xml:space="preserve">TS </w:t>
      </w:r>
      <w:r w:rsidR="00FE4492" w:rsidRPr="00FE4492">
        <w:rPr>
          <w:sz w:val="20"/>
          <w:szCs w:val="20"/>
        </w:rPr>
        <w:t xml:space="preserve">38.473, </w:t>
      </w:r>
      <w:r w:rsidR="0065419B">
        <w:rPr>
          <w:sz w:val="20"/>
          <w:szCs w:val="20"/>
        </w:rPr>
        <w:t>the gNB-</w:t>
      </w:r>
      <w:r w:rsidR="00FE4492" w:rsidRPr="00FE4492">
        <w:rPr>
          <w:sz w:val="20"/>
          <w:szCs w:val="20"/>
        </w:rPr>
        <w:t xml:space="preserve">CU may send F1AP UE CONTEXT MODIFICATION REQUEST </w:t>
      </w:r>
      <w:r w:rsidR="004D10D2">
        <w:rPr>
          <w:sz w:val="20"/>
          <w:szCs w:val="20"/>
        </w:rPr>
        <w:t xml:space="preserve">message </w:t>
      </w:r>
      <w:r w:rsidR="00FE4492" w:rsidRPr="00FE4492">
        <w:rPr>
          <w:sz w:val="20"/>
          <w:szCs w:val="20"/>
        </w:rPr>
        <w:t xml:space="preserve">to ask </w:t>
      </w:r>
      <w:r w:rsidR="004D10D2">
        <w:rPr>
          <w:sz w:val="20"/>
          <w:szCs w:val="20"/>
        </w:rPr>
        <w:t>gNB-</w:t>
      </w:r>
      <w:r w:rsidR="00FE4492" w:rsidRPr="00FE4492">
        <w:rPr>
          <w:sz w:val="20"/>
          <w:szCs w:val="20"/>
        </w:rPr>
        <w:t xml:space="preserve">DU to prepare CGC for the RRCReconfiguration as HO command for intra-gNB_DU HO. Therefore, under this scenario, </w:t>
      </w:r>
      <w:r w:rsidR="0065419B">
        <w:rPr>
          <w:sz w:val="20"/>
          <w:szCs w:val="20"/>
        </w:rPr>
        <w:t>gNB-</w:t>
      </w:r>
      <w:r w:rsidR="00FE4492" w:rsidRPr="00FE4492">
        <w:rPr>
          <w:sz w:val="20"/>
          <w:szCs w:val="20"/>
        </w:rPr>
        <w:t>CU doesn’t know for which measObjects, measurement GAP is required while sending this F1AP UE CONTEXT MODIFICATION REQUEST</w:t>
      </w:r>
      <w:r w:rsidR="004D10D2">
        <w:rPr>
          <w:sz w:val="20"/>
          <w:szCs w:val="20"/>
        </w:rPr>
        <w:t xml:space="preserve"> message</w:t>
      </w:r>
      <w:r w:rsidR="00FE4492" w:rsidRPr="00FE4492">
        <w:rPr>
          <w:sz w:val="20"/>
          <w:szCs w:val="20"/>
        </w:rPr>
        <w:t>, as CU doesn’t know UE’s reference frequency to be used.</w:t>
      </w:r>
    </w:p>
    <w:p w14:paraId="59DB3774" w14:textId="1A78AD8B" w:rsidR="00272C2E" w:rsidRDefault="00272C2E" w:rsidP="00C7408F">
      <w:pPr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BD883E5" wp14:editId="61AEC4E8">
            <wp:extent cx="5760720" cy="4083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73720" w14:textId="2E63E1DB" w:rsidR="004D10D2" w:rsidRDefault="004D10D2" w:rsidP="004D10D2">
      <w:pPr>
        <w:rPr>
          <w:sz w:val="20"/>
          <w:szCs w:val="20"/>
        </w:rPr>
      </w:pPr>
      <w:r w:rsidRPr="00FE4492">
        <w:rPr>
          <w:sz w:val="20"/>
          <w:szCs w:val="20"/>
        </w:rPr>
        <w:t>It</w:t>
      </w:r>
      <w:r>
        <w:rPr>
          <w:sz w:val="20"/>
          <w:szCs w:val="20"/>
        </w:rPr>
        <w:t xml:space="preserve"> i</w:t>
      </w:r>
      <w:r w:rsidRPr="00FE4492">
        <w:rPr>
          <w:sz w:val="20"/>
          <w:szCs w:val="20"/>
        </w:rPr>
        <w:t>s the same</w:t>
      </w:r>
      <w:r>
        <w:rPr>
          <w:sz w:val="20"/>
          <w:szCs w:val="20"/>
        </w:rPr>
        <w:t xml:space="preserve"> w</w:t>
      </w:r>
      <w:r w:rsidRPr="00FE4492">
        <w:rPr>
          <w:sz w:val="20"/>
          <w:szCs w:val="20"/>
        </w:rPr>
        <w:t xml:space="preserve">hen </w:t>
      </w:r>
      <w:r>
        <w:rPr>
          <w:sz w:val="20"/>
          <w:szCs w:val="20"/>
        </w:rPr>
        <w:t>gNB-</w:t>
      </w:r>
      <w:r w:rsidRPr="00FE4492">
        <w:rPr>
          <w:sz w:val="20"/>
          <w:szCs w:val="20"/>
        </w:rPr>
        <w:t>CU sends F1AP UE CONTEXT SETUP REQUEST</w:t>
      </w:r>
      <w:r>
        <w:rPr>
          <w:sz w:val="20"/>
          <w:szCs w:val="20"/>
        </w:rPr>
        <w:t xml:space="preserve"> message</w:t>
      </w:r>
      <w:r w:rsidRPr="00FE4492">
        <w:rPr>
          <w:sz w:val="20"/>
          <w:szCs w:val="20"/>
        </w:rPr>
        <w:t xml:space="preserve">, </w:t>
      </w:r>
      <w:r>
        <w:rPr>
          <w:sz w:val="20"/>
          <w:szCs w:val="20"/>
        </w:rPr>
        <w:t>gNB-</w:t>
      </w:r>
      <w:r w:rsidRPr="00FE4492">
        <w:rPr>
          <w:sz w:val="20"/>
          <w:szCs w:val="20"/>
        </w:rPr>
        <w:t>CU doesn’t know for which measObjects, measurement GAP is required.</w:t>
      </w:r>
      <w:r>
        <w:rPr>
          <w:sz w:val="20"/>
          <w:szCs w:val="20"/>
        </w:rPr>
        <w:t xml:space="preserve"> Below a</w:t>
      </w:r>
      <w:r w:rsidR="006C74BE">
        <w:rPr>
          <w:sz w:val="20"/>
          <w:szCs w:val="20"/>
        </w:rPr>
        <w:t>nother</w:t>
      </w:r>
      <w:r>
        <w:rPr>
          <w:sz w:val="20"/>
          <w:szCs w:val="20"/>
        </w:rPr>
        <w:t xml:space="preserve"> flow-chart detailing the signalling for Intra-gNB-DU HO:</w:t>
      </w:r>
    </w:p>
    <w:p w14:paraId="22A66E03" w14:textId="77777777" w:rsidR="004D10D2" w:rsidRDefault="004D10D2" w:rsidP="00C7408F">
      <w:pPr>
        <w:rPr>
          <w:sz w:val="20"/>
          <w:szCs w:val="20"/>
        </w:rPr>
      </w:pPr>
    </w:p>
    <w:p w14:paraId="2D73D070" w14:textId="1F826032" w:rsidR="00DB4295" w:rsidRPr="00272C2E" w:rsidRDefault="00DB4295" w:rsidP="00C7408F">
      <w:pPr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81CB065" wp14:editId="6EE9F727">
            <wp:extent cx="5760720" cy="43021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0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6E95" w14:textId="72E2BE4D" w:rsidR="0088640F" w:rsidRDefault="0088640F" w:rsidP="00C7408F">
      <w:pPr>
        <w:rPr>
          <w:sz w:val="20"/>
          <w:szCs w:val="20"/>
        </w:rPr>
      </w:pPr>
    </w:p>
    <w:p w14:paraId="7FAB8203" w14:textId="4FAC9D30" w:rsidR="000F1A69" w:rsidRPr="006C74BE" w:rsidRDefault="000F1A69" w:rsidP="006C74BE">
      <w:pPr>
        <w:pStyle w:val="ListParagraph"/>
        <w:numPr>
          <w:ilvl w:val="0"/>
          <w:numId w:val="12"/>
        </w:numPr>
        <w:rPr>
          <w:b/>
          <w:bCs/>
          <w:sz w:val="20"/>
          <w:szCs w:val="20"/>
        </w:rPr>
      </w:pPr>
      <w:r w:rsidRPr="006C74BE">
        <w:rPr>
          <w:b/>
          <w:bCs/>
          <w:sz w:val="20"/>
          <w:szCs w:val="20"/>
        </w:rPr>
        <w:t>The F1 UE CONTEXT SETUP REQUEST message is not the timing for gNB-CU to ask gNB-DU to generate measurement GAP. One separate F1 request (sometime</w:t>
      </w:r>
      <w:r w:rsidR="004A1628" w:rsidRPr="006C74BE">
        <w:rPr>
          <w:b/>
          <w:bCs/>
          <w:sz w:val="20"/>
          <w:szCs w:val="20"/>
        </w:rPr>
        <w:t>s</w:t>
      </w:r>
      <w:r w:rsidRPr="006C74BE">
        <w:rPr>
          <w:b/>
          <w:bCs/>
          <w:sz w:val="20"/>
          <w:szCs w:val="20"/>
        </w:rPr>
        <w:t xml:space="preserve"> after F1 UE CONTEXT SETUP REQUEST) to ask DU to generate measurement GAP is always requested, even in only one SSB (i.e. CD SSB) cell. </w:t>
      </w:r>
    </w:p>
    <w:p w14:paraId="413D444C" w14:textId="6C6E0A8E" w:rsidR="00AF5280" w:rsidRPr="00E13238" w:rsidRDefault="00DD5144" w:rsidP="0088640F">
      <w:pPr>
        <w:rPr>
          <w:sz w:val="20"/>
          <w:szCs w:val="20"/>
        </w:rPr>
      </w:pPr>
      <w:r w:rsidRPr="00E13238">
        <w:rPr>
          <w:sz w:val="20"/>
          <w:szCs w:val="20"/>
        </w:rPr>
        <w:t>A CR is proposed for agreement in [1]</w:t>
      </w:r>
      <w:r w:rsidR="004E4095" w:rsidRPr="00E13238">
        <w:rPr>
          <w:sz w:val="20"/>
          <w:szCs w:val="20"/>
        </w:rPr>
        <w:t>.</w:t>
      </w:r>
    </w:p>
    <w:p w14:paraId="71DC91EB" w14:textId="77777777" w:rsidR="008A1414" w:rsidRPr="00E13238" w:rsidRDefault="004E4095" w:rsidP="004E4095">
      <w:pPr>
        <w:rPr>
          <w:sz w:val="20"/>
          <w:szCs w:val="20"/>
        </w:rPr>
      </w:pPr>
      <w:r w:rsidRPr="00E13238">
        <w:rPr>
          <w:sz w:val="20"/>
          <w:szCs w:val="20"/>
        </w:rPr>
        <w:t xml:space="preserve">The above proposed solution covers the case of when RRC Reconfiguration based BWP switch is performed. </w:t>
      </w:r>
    </w:p>
    <w:p w14:paraId="77B2C7F1" w14:textId="1886D727" w:rsidR="00390D8E" w:rsidRPr="00E13238" w:rsidRDefault="004E4095" w:rsidP="004E4095">
      <w:pPr>
        <w:rPr>
          <w:sz w:val="20"/>
          <w:szCs w:val="20"/>
        </w:rPr>
      </w:pPr>
      <w:r w:rsidRPr="00E13238">
        <w:rPr>
          <w:sz w:val="20"/>
          <w:szCs w:val="20"/>
        </w:rPr>
        <w:t xml:space="preserve">In case of BWP switch via DCI, RAN3 should discuss whether there would be any additional F1AP impacts. One option is that gNB-DU </w:t>
      </w:r>
      <w:r w:rsidR="008A1414" w:rsidRPr="00E13238">
        <w:rPr>
          <w:sz w:val="20"/>
          <w:szCs w:val="20"/>
        </w:rPr>
        <w:t>must</w:t>
      </w:r>
      <w:r w:rsidRPr="00E13238">
        <w:rPr>
          <w:sz w:val="20"/>
          <w:szCs w:val="20"/>
        </w:rPr>
        <w:t xml:space="preserve"> send a UE CONTEXT MODIFICATION REQUIRED (gNB-DU initiated) message </w:t>
      </w:r>
      <w:r w:rsidR="00DD5AF9" w:rsidRPr="00E13238">
        <w:rPr>
          <w:sz w:val="20"/>
          <w:szCs w:val="20"/>
        </w:rPr>
        <w:t>every time</w:t>
      </w:r>
      <w:r w:rsidRPr="00E13238">
        <w:rPr>
          <w:sz w:val="20"/>
          <w:szCs w:val="20"/>
        </w:rPr>
        <w:t xml:space="preserve"> an active BWP switch via DCI happens</w:t>
      </w:r>
      <w:r w:rsidR="00DD5AF9" w:rsidRPr="00E13238">
        <w:rPr>
          <w:sz w:val="20"/>
          <w:szCs w:val="20"/>
        </w:rPr>
        <w:t>,</w:t>
      </w:r>
      <w:r w:rsidR="00CD59E1" w:rsidRPr="00E13238">
        <w:rPr>
          <w:sz w:val="20"/>
          <w:szCs w:val="20"/>
        </w:rPr>
        <w:t xml:space="preserve"> so that gNB-CU knows the change of UE’s active BWP and decides whether to request Measurement Gaps</w:t>
      </w:r>
      <w:r w:rsidR="00E95911" w:rsidRPr="00E13238">
        <w:rPr>
          <w:sz w:val="20"/>
          <w:szCs w:val="20"/>
        </w:rPr>
        <w:t xml:space="preserve"> to gNB-DU</w:t>
      </w:r>
      <w:r w:rsidR="008A1414" w:rsidRPr="00E13238">
        <w:rPr>
          <w:sz w:val="20"/>
          <w:szCs w:val="20"/>
        </w:rPr>
        <w:t>.</w:t>
      </w:r>
      <w:r w:rsidRPr="00E13238">
        <w:rPr>
          <w:sz w:val="20"/>
          <w:szCs w:val="20"/>
        </w:rPr>
        <w:t xml:space="preserve"> </w:t>
      </w:r>
      <w:r w:rsidR="00127033" w:rsidRPr="00E13238">
        <w:rPr>
          <w:sz w:val="20"/>
          <w:szCs w:val="20"/>
        </w:rPr>
        <w:t xml:space="preserve">In fact, when the </w:t>
      </w:r>
      <w:r w:rsidR="008A1414" w:rsidRPr="00E13238">
        <w:rPr>
          <w:sz w:val="20"/>
          <w:szCs w:val="20"/>
        </w:rPr>
        <w:t>UE’</w:t>
      </w:r>
      <w:r w:rsidR="00127033" w:rsidRPr="00E13238">
        <w:rPr>
          <w:sz w:val="20"/>
          <w:szCs w:val="20"/>
        </w:rPr>
        <w:t>s active BWP change</w:t>
      </w:r>
      <w:r w:rsidR="009E5B44">
        <w:rPr>
          <w:sz w:val="20"/>
          <w:szCs w:val="20"/>
        </w:rPr>
        <w:t>s</w:t>
      </w:r>
      <w:r w:rsidR="00127033" w:rsidRPr="00E13238">
        <w:rPr>
          <w:sz w:val="20"/>
          <w:szCs w:val="20"/>
        </w:rPr>
        <w:t xml:space="preserve">, the measurement GAP may change, as measurement GAP is based on UE’s active BWP. </w:t>
      </w:r>
      <w:r w:rsidR="00390D8E" w:rsidRPr="00E13238">
        <w:rPr>
          <w:sz w:val="20"/>
          <w:szCs w:val="20"/>
        </w:rPr>
        <w:t xml:space="preserve">We </w:t>
      </w:r>
      <w:r w:rsidR="00DD5AF9" w:rsidRPr="00E13238">
        <w:rPr>
          <w:sz w:val="20"/>
          <w:szCs w:val="20"/>
        </w:rPr>
        <w:t>note</w:t>
      </w:r>
      <w:r w:rsidR="00390D8E" w:rsidRPr="00E13238">
        <w:rPr>
          <w:sz w:val="20"/>
          <w:szCs w:val="20"/>
        </w:rPr>
        <w:t xml:space="preserve"> that</w:t>
      </w:r>
      <w:r w:rsidR="00DD5AF9" w:rsidRPr="00E13238">
        <w:rPr>
          <w:sz w:val="20"/>
          <w:szCs w:val="20"/>
        </w:rPr>
        <w:t xml:space="preserve"> the gNB-DU initiated </w:t>
      </w:r>
      <w:r w:rsidR="00E95911" w:rsidRPr="00E13238">
        <w:rPr>
          <w:sz w:val="20"/>
          <w:szCs w:val="20"/>
        </w:rPr>
        <w:t xml:space="preserve">UE CONTEXT MODIFICATION REQUIRED </w:t>
      </w:r>
      <w:r w:rsidR="00DD5AF9" w:rsidRPr="00E13238">
        <w:rPr>
          <w:sz w:val="20"/>
          <w:szCs w:val="20"/>
        </w:rPr>
        <w:t>message can also happen in case gNB-DU wants to configure additional BWP to UE</w:t>
      </w:r>
      <w:r w:rsidR="00390D8E" w:rsidRPr="00E13238">
        <w:rPr>
          <w:sz w:val="20"/>
          <w:szCs w:val="20"/>
        </w:rPr>
        <w:t>.</w:t>
      </w:r>
    </w:p>
    <w:p w14:paraId="37D4E312" w14:textId="07F8BF99" w:rsidR="00390D8E" w:rsidRPr="009E5B44" w:rsidRDefault="00390D8E" w:rsidP="009E5B44">
      <w:pPr>
        <w:pStyle w:val="ListParagraph"/>
        <w:numPr>
          <w:ilvl w:val="0"/>
          <w:numId w:val="12"/>
        </w:numPr>
        <w:rPr>
          <w:b/>
          <w:bCs/>
          <w:sz w:val="20"/>
          <w:szCs w:val="20"/>
        </w:rPr>
      </w:pPr>
      <w:r w:rsidRPr="009E5B44">
        <w:rPr>
          <w:b/>
          <w:bCs/>
          <w:sz w:val="20"/>
          <w:szCs w:val="20"/>
        </w:rPr>
        <w:t xml:space="preserve">In case of active BWP switch via DCI, or gNB-DU </w:t>
      </w:r>
      <w:r w:rsidR="00567821" w:rsidRPr="009E5B44">
        <w:rPr>
          <w:b/>
          <w:bCs/>
          <w:sz w:val="20"/>
          <w:szCs w:val="20"/>
        </w:rPr>
        <w:t xml:space="preserve">configures additional BWP to UE, the gNB-DU </w:t>
      </w:r>
      <w:r w:rsidR="00E95911" w:rsidRPr="009E5B44">
        <w:rPr>
          <w:b/>
          <w:bCs/>
          <w:sz w:val="20"/>
          <w:szCs w:val="20"/>
        </w:rPr>
        <w:t>can inform gNB-CU so that</w:t>
      </w:r>
      <w:r w:rsidR="00E13238" w:rsidRPr="009E5B44">
        <w:rPr>
          <w:b/>
          <w:bCs/>
          <w:sz w:val="20"/>
          <w:szCs w:val="20"/>
        </w:rPr>
        <w:t xml:space="preserve"> gNB-CU decides if measurement GAP is needed based on UE’s active BWP change.</w:t>
      </w:r>
    </w:p>
    <w:p w14:paraId="2FEA1460" w14:textId="1D161493" w:rsidR="006449BE" w:rsidRPr="00E13238" w:rsidRDefault="004E4095" w:rsidP="004E4095">
      <w:pPr>
        <w:rPr>
          <w:sz w:val="20"/>
          <w:szCs w:val="20"/>
        </w:rPr>
      </w:pPr>
      <w:r w:rsidRPr="00E13238">
        <w:rPr>
          <w:sz w:val="20"/>
          <w:szCs w:val="20"/>
        </w:rPr>
        <w:t>This solution</w:t>
      </w:r>
      <w:r w:rsidR="00127033" w:rsidRPr="00E13238">
        <w:rPr>
          <w:sz w:val="20"/>
          <w:szCs w:val="20"/>
        </w:rPr>
        <w:t xml:space="preserve"> however</w:t>
      </w:r>
      <w:r w:rsidRPr="00E13238">
        <w:rPr>
          <w:sz w:val="20"/>
          <w:szCs w:val="20"/>
        </w:rPr>
        <w:t xml:space="preserve"> generates a RRC Reconfig</w:t>
      </w:r>
      <w:r w:rsidR="00083FDE">
        <w:rPr>
          <w:sz w:val="20"/>
          <w:szCs w:val="20"/>
        </w:rPr>
        <w:t>uration</w:t>
      </w:r>
      <w:r w:rsidRPr="00E13238">
        <w:rPr>
          <w:sz w:val="20"/>
          <w:szCs w:val="20"/>
        </w:rPr>
        <w:t xml:space="preserve"> message for every DCI based Active BWP switch</w:t>
      </w:r>
      <w:r w:rsidR="00127033" w:rsidRPr="00E13238">
        <w:rPr>
          <w:sz w:val="20"/>
          <w:szCs w:val="20"/>
        </w:rPr>
        <w:t xml:space="preserve">. In case </w:t>
      </w:r>
      <w:r w:rsidR="00083FDE">
        <w:rPr>
          <w:sz w:val="20"/>
          <w:szCs w:val="20"/>
        </w:rPr>
        <w:t xml:space="preserve">the active </w:t>
      </w:r>
      <w:r w:rsidR="00127033" w:rsidRPr="00E13238">
        <w:rPr>
          <w:sz w:val="20"/>
          <w:szCs w:val="20"/>
        </w:rPr>
        <w:t xml:space="preserve">BWP switch via DCI happens often this may create additional F1 and RRC signalling, </w:t>
      </w:r>
      <w:r w:rsidR="003D0A45">
        <w:rPr>
          <w:sz w:val="20"/>
          <w:szCs w:val="20"/>
        </w:rPr>
        <w:t>which is not desirable as it will make</w:t>
      </w:r>
      <w:r w:rsidR="00127033" w:rsidRPr="00E13238">
        <w:rPr>
          <w:sz w:val="20"/>
          <w:szCs w:val="20"/>
        </w:rPr>
        <w:t xml:space="preserve"> the DCI</w:t>
      </w:r>
      <w:r w:rsidR="003D0A45">
        <w:rPr>
          <w:sz w:val="20"/>
          <w:szCs w:val="20"/>
        </w:rPr>
        <w:t>-based BWP switch</w:t>
      </w:r>
      <w:r w:rsidR="00127033" w:rsidRPr="00E13238">
        <w:rPr>
          <w:sz w:val="20"/>
          <w:szCs w:val="20"/>
        </w:rPr>
        <w:t xml:space="preserve"> solution draining </w:t>
      </w:r>
      <w:r w:rsidR="008E3BE1">
        <w:rPr>
          <w:sz w:val="20"/>
          <w:szCs w:val="20"/>
        </w:rPr>
        <w:t xml:space="preserve">on </w:t>
      </w:r>
      <w:r w:rsidR="003D0A45">
        <w:rPr>
          <w:sz w:val="20"/>
          <w:szCs w:val="20"/>
        </w:rPr>
        <w:t>network’s</w:t>
      </w:r>
      <w:r w:rsidR="00127033" w:rsidRPr="00E13238">
        <w:rPr>
          <w:sz w:val="20"/>
          <w:szCs w:val="20"/>
        </w:rPr>
        <w:t xml:space="preserve"> resources. It is proposed that </w:t>
      </w:r>
      <w:r w:rsidRPr="00E13238">
        <w:rPr>
          <w:sz w:val="20"/>
          <w:szCs w:val="20"/>
        </w:rPr>
        <w:t>RAN3 discuss</w:t>
      </w:r>
      <w:r w:rsidR="00127033" w:rsidRPr="00E13238">
        <w:rPr>
          <w:sz w:val="20"/>
          <w:szCs w:val="20"/>
        </w:rPr>
        <w:t>es the impact of active BWP switch via DCI</w:t>
      </w:r>
      <w:r w:rsidR="003D0A45">
        <w:rPr>
          <w:sz w:val="20"/>
          <w:szCs w:val="20"/>
        </w:rPr>
        <w:t xml:space="preserve"> case</w:t>
      </w:r>
      <w:r w:rsidR="00127033" w:rsidRPr="00E13238">
        <w:rPr>
          <w:sz w:val="20"/>
          <w:szCs w:val="20"/>
        </w:rPr>
        <w:t xml:space="preserve">, whether there would be any additional F1AP solution </w:t>
      </w:r>
      <w:r w:rsidR="006449BE" w:rsidRPr="00E13238">
        <w:rPr>
          <w:sz w:val="20"/>
          <w:szCs w:val="20"/>
        </w:rPr>
        <w:t xml:space="preserve">for determination </w:t>
      </w:r>
      <w:r w:rsidR="00B06FDF">
        <w:rPr>
          <w:sz w:val="20"/>
          <w:szCs w:val="20"/>
        </w:rPr>
        <w:t>of</w:t>
      </w:r>
      <w:r w:rsidR="006449BE" w:rsidRPr="00E13238">
        <w:rPr>
          <w:sz w:val="20"/>
          <w:szCs w:val="20"/>
        </w:rPr>
        <w:t xml:space="preserve"> Meas GAPS</w:t>
      </w:r>
      <w:r w:rsidR="00B06FDF">
        <w:rPr>
          <w:sz w:val="20"/>
          <w:szCs w:val="20"/>
        </w:rPr>
        <w:t xml:space="preserve"> by gNB-CU</w:t>
      </w:r>
      <w:r w:rsidR="006449BE" w:rsidRPr="00E13238">
        <w:rPr>
          <w:sz w:val="20"/>
          <w:szCs w:val="20"/>
        </w:rPr>
        <w:t>.</w:t>
      </w:r>
    </w:p>
    <w:p w14:paraId="0F59C36A" w14:textId="2587723C" w:rsidR="004E4095" w:rsidRPr="00083FDE" w:rsidRDefault="006449BE" w:rsidP="00083FDE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083FDE">
        <w:rPr>
          <w:b/>
          <w:bCs/>
          <w:sz w:val="20"/>
          <w:szCs w:val="20"/>
        </w:rPr>
        <w:t>RAN3 discusses the impact of active BWP switch via DCI and whether there would be any additional F1AP impacts to help gNB-CU determine the need for Meas GAPS (due to active BWP switching).</w:t>
      </w:r>
    </w:p>
    <w:p w14:paraId="401F645B" w14:textId="77777777" w:rsidR="004E4095" w:rsidRPr="00C7408F" w:rsidRDefault="004E4095" w:rsidP="0088640F">
      <w:pPr>
        <w:rPr>
          <w:sz w:val="20"/>
          <w:szCs w:val="20"/>
        </w:rPr>
      </w:pPr>
    </w:p>
    <w:p w14:paraId="39B6DE86" w14:textId="77777777" w:rsidR="00B21501" w:rsidRDefault="00B21501" w:rsidP="00B21501">
      <w:pPr>
        <w:pStyle w:val="Heading1"/>
      </w:pPr>
      <w:r>
        <w:lastRenderedPageBreak/>
        <w:t>Conclusions and Proposals</w:t>
      </w:r>
    </w:p>
    <w:p w14:paraId="3783933F" w14:textId="77777777" w:rsidR="00B21501" w:rsidRDefault="00B21501" w:rsidP="00B21501">
      <w:r>
        <w:t>Our observations and proposals are summarized below.</w:t>
      </w:r>
    </w:p>
    <w:p w14:paraId="32269E41" w14:textId="77777777" w:rsidR="006449BE" w:rsidRPr="009A0E9A" w:rsidRDefault="006449BE" w:rsidP="006449BE">
      <w:pPr>
        <w:rPr>
          <w:b/>
          <w:bCs/>
          <w:sz w:val="20"/>
          <w:szCs w:val="20"/>
        </w:rPr>
      </w:pPr>
      <w:r w:rsidRPr="009A0E9A">
        <w:rPr>
          <w:b/>
          <w:bCs/>
          <w:sz w:val="20"/>
          <w:szCs w:val="20"/>
        </w:rPr>
        <w:t>Observation 1: NCD-SSB is in different frequency from CD-SSB. Therefore, servingCellMOs pointing to NCD-SSB or CD-SSB are different.</w:t>
      </w:r>
    </w:p>
    <w:p w14:paraId="0E91F79C" w14:textId="77777777" w:rsidR="006449BE" w:rsidRPr="00410431" w:rsidRDefault="006449BE" w:rsidP="006449B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1:</w:t>
      </w:r>
      <w:r w:rsidRPr="00410431">
        <w:rPr>
          <w:b/>
          <w:bCs/>
          <w:sz w:val="20"/>
          <w:szCs w:val="20"/>
        </w:rPr>
        <w:t xml:space="preserve"> Introduce a list of candidate ServingCellMOs with the NCD-SSB information (</w:t>
      </w:r>
      <w:r w:rsidRPr="00410431">
        <w:rPr>
          <w:b/>
          <w:bCs/>
          <w:i/>
          <w:iCs/>
          <w:sz w:val="20"/>
          <w:szCs w:val="20"/>
        </w:rPr>
        <w:t>servingCellMO List</w:t>
      </w:r>
      <w:r w:rsidRPr="00410431">
        <w:rPr>
          <w:b/>
          <w:bCs/>
          <w:sz w:val="20"/>
          <w:szCs w:val="20"/>
        </w:rPr>
        <w:t xml:space="preserve"> IE)</w:t>
      </w:r>
      <w:r>
        <w:rPr>
          <w:b/>
          <w:bCs/>
          <w:sz w:val="20"/>
          <w:szCs w:val="20"/>
        </w:rPr>
        <w:t xml:space="preserve"> </w:t>
      </w:r>
      <w:r w:rsidRPr="00410431">
        <w:rPr>
          <w:b/>
          <w:bCs/>
          <w:sz w:val="20"/>
          <w:szCs w:val="20"/>
        </w:rPr>
        <w:t xml:space="preserve">in the UE CONTEXT SETUP REQUEST and UE CONTEXT MODIFICATION REQUEST messages so that </w:t>
      </w:r>
      <w:r>
        <w:rPr>
          <w:b/>
          <w:bCs/>
          <w:sz w:val="20"/>
          <w:szCs w:val="20"/>
        </w:rPr>
        <w:t>gNB-</w:t>
      </w:r>
      <w:r w:rsidRPr="00410431">
        <w:rPr>
          <w:b/>
          <w:bCs/>
          <w:sz w:val="20"/>
          <w:szCs w:val="20"/>
        </w:rPr>
        <w:t>DU can select related measObjectId as servingCellMO for NCD-SSB</w:t>
      </w:r>
    </w:p>
    <w:p w14:paraId="10D4E6E7" w14:textId="736ECFDE" w:rsidR="006449BE" w:rsidRDefault="006449BE" w:rsidP="006449BE">
      <w:pPr>
        <w:numPr>
          <w:ilvl w:val="0"/>
          <w:numId w:val="8"/>
        </w:numPr>
        <w:rPr>
          <w:b/>
          <w:bCs/>
          <w:sz w:val="20"/>
          <w:szCs w:val="20"/>
        </w:rPr>
      </w:pPr>
      <w:r w:rsidRPr="00410431">
        <w:rPr>
          <w:b/>
          <w:bCs/>
          <w:sz w:val="20"/>
          <w:szCs w:val="20"/>
        </w:rPr>
        <w:t>The SSB information contains the SSB frequency</w:t>
      </w:r>
    </w:p>
    <w:p w14:paraId="52AAED7B" w14:textId="77777777" w:rsidR="006449BE" w:rsidRPr="00265539" w:rsidRDefault="006449BE" w:rsidP="006449BE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265539">
        <w:rPr>
          <w:b/>
          <w:bCs/>
          <w:sz w:val="20"/>
          <w:szCs w:val="20"/>
        </w:rPr>
        <w:t xml:space="preserve">For backward-compatibility, the legacy </w:t>
      </w:r>
      <w:r w:rsidRPr="00C87D21">
        <w:rPr>
          <w:b/>
          <w:bCs/>
          <w:i/>
          <w:iCs/>
          <w:sz w:val="20"/>
          <w:szCs w:val="20"/>
        </w:rPr>
        <w:t>servingCellMO</w:t>
      </w:r>
      <w:r w:rsidRPr="00265539">
        <w:rPr>
          <w:b/>
          <w:bCs/>
          <w:sz w:val="20"/>
          <w:szCs w:val="20"/>
        </w:rPr>
        <w:t xml:space="preserve"> IE points to CD-SSB only</w:t>
      </w:r>
    </w:p>
    <w:p w14:paraId="02655F0E" w14:textId="77777777" w:rsidR="006449BE" w:rsidRPr="00092E6A" w:rsidRDefault="006449BE" w:rsidP="006449BE">
      <w:pPr>
        <w:pStyle w:val="CommentText"/>
        <w:rPr>
          <w:b/>
          <w:bCs/>
        </w:rPr>
      </w:pPr>
      <w:r w:rsidRPr="00092E6A">
        <w:rPr>
          <w:b/>
          <w:bCs/>
        </w:rPr>
        <w:t xml:space="preserve">Observation 2: It is beneficial for </w:t>
      </w:r>
      <w:r>
        <w:rPr>
          <w:b/>
          <w:bCs/>
        </w:rPr>
        <w:t>gNB-</w:t>
      </w:r>
      <w:r w:rsidRPr="00092E6A">
        <w:rPr>
          <w:b/>
          <w:bCs/>
        </w:rPr>
        <w:t>CU to know the number of servingCellMO which could be encoded in the CellGroupConfig to one specific UE</w:t>
      </w:r>
      <w:r>
        <w:rPr>
          <w:b/>
          <w:bCs/>
        </w:rPr>
        <w:t xml:space="preserve"> as </w:t>
      </w:r>
      <w:r w:rsidRPr="00EB7621">
        <w:rPr>
          <w:b/>
          <w:bCs/>
        </w:rPr>
        <w:t xml:space="preserve">it will improve </w:t>
      </w:r>
      <w:r>
        <w:rPr>
          <w:b/>
          <w:bCs/>
        </w:rPr>
        <w:t>gNB-</w:t>
      </w:r>
      <w:r w:rsidRPr="00EB7621">
        <w:rPr>
          <w:b/>
          <w:bCs/>
        </w:rPr>
        <w:t>CU’s efficiency</w:t>
      </w:r>
      <w:r w:rsidRPr="00092E6A">
        <w:rPr>
          <w:b/>
          <w:bCs/>
        </w:rPr>
        <w:t xml:space="preserve"> </w:t>
      </w:r>
      <w:r w:rsidRPr="004A4742">
        <w:rPr>
          <w:b/>
          <w:bCs/>
        </w:rPr>
        <w:t>to release unused Measurement Object IDs.</w:t>
      </w:r>
    </w:p>
    <w:p w14:paraId="05FC47A0" w14:textId="77777777" w:rsidR="006449BE" w:rsidRPr="00AF501B" w:rsidRDefault="006449BE" w:rsidP="006449BE">
      <w:pPr>
        <w:rPr>
          <w:b/>
          <w:bCs/>
          <w:sz w:val="20"/>
          <w:szCs w:val="20"/>
        </w:rPr>
      </w:pPr>
      <w:r w:rsidRPr="00AF501B">
        <w:rPr>
          <w:b/>
          <w:bCs/>
          <w:sz w:val="20"/>
          <w:szCs w:val="20"/>
        </w:rPr>
        <w:t>Proposal 2: The UE’s current servingCellMO and the encoded-in-CGC servingCellMO list (</w:t>
      </w:r>
      <w:r w:rsidRPr="00AF501B">
        <w:rPr>
          <w:b/>
          <w:bCs/>
          <w:i/>
          <w:iCs/>
          <w:sz w:val="20"/>
          <w:szCs w:val="20"/>
        </w:rPr>
        <w:t>ServingCellMO-encoded-in-CGC List</w:t>
      </w:r>
      <w:r w:rsidRPr="00AF501B">
        <w:rPr>
          <w:b/>
          <w:bCs/>
          <w:sz w:val="20"/>
          <w:szCs w:val="20"/>
        </w:rPr>
        <w:t xml:space="preserve"> IE) </w:t>
      </w:r>
      <w:r>
        <w:rPr>
          <w:b/>
          <w:bCs/>
          <w:sz w:val="20"/>
          <w:szCs w:val="20"/>
        </w:rPr>
        <w:t>are</w:t>
      </w:r>
      <w:r w:rsidRPr="00AF501B">
        <w:rPr>
          <w:b/>
          <w:bCs/>
          <w:sz w:val="20"/>
          <w:szCs w:val="20"/>
        </w:rPr>
        <w:t xml:space="preserve"> notified from </w:t>
      </w:r>
      <w:r>
        <w:rPr>
          <w:b/>
          <w:bCs/>
          <w:sz w:val="20"/>
          <w:szCs w:val="20"/>
        </w:rPr>
        <w:t>gNB-</w:t>
      </w:r>
      <w:r w:rsidRPr="00AF501B">
        <w:rPr>
          <w:b/>
          <w:bCs/>
          <w:sz w:val="20"/>
          <w:szCs w:val="20"/>
        </w:rPr>
        <w:t xml:space="preserve">DU to </w:t>
      </w:r>
      <w:r>
        <w:rPr>
          <w:b/>
          <w:bCs/>
          <w:sz w:val="20"/>
          <w:szCs w:val="20"/>
        </w:rPr>
        <w:t>gNB-</w:t>
      </w:r>
      <w:r w:rsidRPr="00AF501B">
        <w:rPr>
          <w:b/>
          <w:bCs/>
          <w:sz w:val="20"/>
          <w:szCs w:val="20"/>
        </w:rPr>
        <w:t xml:space="preserve">CU in the F1 UE CONTEXT SETUP RESPONSE and UE CONTEXT MODIFICATION RESPONSE messages so that </w:t>
      </w:r>
      <w:r>
        <w:rPr>
          <w:b/>
          <w:bCs/>
          <w:sz w:val="20"/>
          <w:szCs w:val="20"/>
        </w:rPr>
        <w:t>gNB-</w:t>
      </w:r>
      <w:r w:rsidRPr="00AF501B">
        <w:rPr>
          <w:b/>
          <w:bCs/>
          <w:sz w:val="20"/>
          <w:szCs w:val="20"/>
        </w:rPr>
        <w:t>CU determines the need of measurements GAPs based on DU selected BWPs.</w:t>
      </w:r>
    </w:p>
    <w:p w14:paraId="3A5466B2" w14:textId="77777777" w:rsidR="006449BE" w:rsidRPr="00BD6D40" w:rsidRDefault="006449BE" w:rsidP="006449BE">
      <w:pPr>
        <w:rPr>
          <w:b/>
          <w:bCs/>
          <w:sz w:val="20"/>
          <w:szCs w:val="20"/>
        </w:rPr>
      </w:pPr>
      <w:r w:rsidRPr="00BD6D40">
        <w:rPr>
          <w:b/>
          <w:bCs/>
          <w:sz w:val="20"/>
          <w:szCs w:val="20"/>
        </w:rPr>
        <w:t xml:space="preserve">Proposal 3: Introduce the </w:t>
      </w:r>
      <w:r w:rsidRPr="00BD6D40">
        <w:rPr>
          <w:b/>
          <w:bCs/>
          <w:i/>
          <w:iCs/>
          <w:sz w:val="20"/>
          <w:szCs w:val="20"/>
        </w:rPr>
        <w:t>Active BWP Location And Bandwidth</w:t>
      </w:r>
      <w:r w:rsidRPr="00BD6D40">
        <w:rPr>
          <w:b/>
          <w:bCs/>
          <w:sz w:val="20"/>
          <w:szCs w:val="20"/>
        </w:rPr>
        <w:t xml:space="preserve"> IE in the UE CONTEXT SETUP RESPONSE and UE CONTEXT MODIFICATION RESPONSE messages</w:t>
      </w:r>
    </w:p>
    <w:p w14:paraId="52F49385" w14:textId="4BD671C1" w:rsidR="006449BE" w:rsidRDefault="006449BE" w:rsidP="006449BE">
      <w:pPr>
        <w:rPr>
          <w:b/>
          <w:bCs/>
          <w:sz w:val="20"/>
          <w:szCs w:val="20"/>
        </w:rPr>
      </w:pPr>
      <w:r w:rsidRPr="000F1A69">
        <w:rPr>
          <w:b/>
          <w:bCs/>
          <w:sz w:val="20"/>
          <w:szCs w:val="20"/>
        </w:rPr>
        <w:t>Observation 3: The F1 UE CONTEXT SETUP REQUEST message is not the timing for gNB-CU to ask gNB-DU to generate measurement GAP. One separate F1 request (sometime</w:t>
      </w:r>
      <w:r>
        <w:rPr>
          <w:b/>
          <w:bCs/>
          <w:sz w:val="20"/>
          <w:szCs w:val="20"/>
        </w:rPr>
        <w:t>s</w:t>
      </w:r>
      <w:r w:rsidRPr="000F1A69">
        <w:rPr>
          <w:b/>
          <w:bCs/>
          <w:sz w:val="20"/>
          <w:szCs w:val="20"/>
        </w:rPr>
        <w:t xml:space="preserve"> after F1 UE CONTEXT SETUP REQUEST) to ask DU to generate measurement GAP is always requested, even in only one SSB (i.e. CD SSB) cell. </w:t>
      </w:r>
    </w:p>
    <w:p w14:paraId="7CD6D14D" w14:textId="1806D0A2" w:rsidR="003D0A45" w:rsidRPr="000F1A69" w:rsidRDefault="003D0A45" w:rsidP="006449BE">
      <w:pPr>
        <w:rPr>
          <w:b/>
          <w:bCs/>
          <w:sz w:val="20"/>
          <w:szCs w:val="20"/>
        </w:rPr>
      </w:pPr>
      <w:r w:rsidRPr="00E13238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4</w:t>
      </w:r>
      <w:r w:rsidRPr="00E13238">
        <w:rPr>
          <w:b/>
          <w:bCs/>
          <w:sz w:val="20"/>
          <w:szCs w:val="20"/>
        </w:rPr>
        <w:t>: In case of active BWP switch via DCI, or gNB-DU configures additional BWP to UE, the gNB-DU can inform gNB-CU so that gNB-CU decides if measurement GAP is needed based on UE’s active BWP change.</w:t>
      </w:r>
    </w:p>
    <w:p w14:paraId="0BCC3035" w14:textId="77777777" w:rsidR="006449BE" w:rsidRDefault="006449BE" w:rsidP="006449BE">
      <w:pPr>
        <w:rPr>
          <w:sz w:val="20"/>
          <w:szCs w:val="20"/>
        </w:rPr>
      </w:pPr>
      <w:r w:rsidRPr="006449BE">
        <w:rPr>
          <w:b/>
          <w:bCs/>
          <w:sz w:val="20"/>
          <w:szCs w:val="20"/>
        </w:rPr>
        <w:t>Proposal 4: RAN3 discusses the impact of active BWP switch via DCI</w:t>
      </w:r>
      <w:r>
        <w:rPr>
          <w:b/>
          <w:bCs/>
          <w:sz w:val="20"/>
          <w:szCs w:val="20"/>
        </w:rPr>
        <w:t xml:space="preserve"> and</w:t>
      </w:r>
      <w:r w:rsidRPr="006449BE">
        <w:rPr>
          <w:b/>
          <w:bCs/>
          <w:sz w:val="20"/>
          <w:szCs w:val="20"/>
        </w:rPr>
        <w:t xml:space="preserve"> whether there would be any additional F1AP </w:t>
      </w:r>
      <w:r>
        <w:rPr>
          <w:b/>
          <w:bCs/>
          <w:sz w:val="20"/>
          <w:szCs w:val="20"/>
        </w:rPr>
        <w:t xml:space="preserve">impacts to help gNB-CU determine the need </w:t>
      </w:r>
      <w:r w:rsidRPr="006449BE">
        <w:rPr>
          <w:b/>
          <w:bCs/>
          <w:sz w:val="20"/>
          <w:szCs w:val="20"/>
        </w:rPr>
        <w:t>for Meas GAPS</w:t>
      </w:r>
      <w:r>
        <w:rPr>
          <w:b/>
          <w:bCs/>
          <w:sz w:val="20"/>
          <w:szCs w:val="20"/>
        </w:rPr>
        <w:t xml:space="preserve"> (due to active BWP switching)</w:t>
      </w:r>
      <w:r w:rsidRPr="006449BE">
        <w:rPr>
          <w:b/>
          <w:bCs/>
          <w:sz w:val="20"/>
          <w:szCs w:val="20"/>
        </w:rPr>
        <w:t>.</w:t>
      </w:r>
    </w:p>
    <w:p w14:paraId="11776453" w14:textId="77777777" w:rsidR="00B21501" w:rsidRDefault="00B21501" w:rsidP="00B21501">
      <w:pPr>
        <w:pStyle w:val="Heading1"/>
      </w:pPr>
      <w:r>
        <w:t>References</w:t>
      </w:r>
    </w:p>
    <w:p w14:paraId="2C5078FA" w14:textId="5E11B7C1" w:rsidR="00B21501" w:rsidRPr="00DC798B" w:rsidRDefault="00B21501" w:rsidP="00B21501">
      <w:pPr>
        <w:pStyle w:val="Reference"/>
      </w:pPr>
      <w:r w:rsidRPr="00DC798B">
        <w:rPr>
          <w:szCs w:val="22"/>
        </w:rPr>
        <w:t>R3-2</w:t>
      </w:r>
      <w:r w:rsidR="0042586E">
        <w:rPr>
          <w:szCs w:val="22"/>
        </w:rPr>
        <w:t>30550</w:t>
      </w:r>
      <w:r>
        <w:rPr>
          <w:szCs w:val="22"/>
        </w:rPr>
        <w:t>,</w:t>
      </w:r>
      <w:r w:rsidRPr="00DC798B">
        <w:rPr>
          <w:szCs w:val="22"/>
        </w:rPr>
        <w:t xml:space="preserve"> </w:t>
      </w:r>
      <w:r w:rsidR="007236BF" w:rsidRPr="007236BF">
        <w:rPr>
          <w:szCs w:val="22"/>
        </w:rPr>
        <w:t>Correction to support NCD-SSB RedCap requirements in F1AP</w:t>
      </w:r>
      <w:r>
        <w:rPr>
          <w:szCs w:val="22"/>
        </w:rPr>
        <w:t xml:space="preserve">, </w:t>
      </w:r>
      <w:r w:rsidR="007236BF">
        <w:rPr>
          <w:szCs w:val="22"/>
        </w:rPr>
        <w:t>CR to TS 38.473, Ericsson, CATT, China Telecom</w:t>
      </w:r>
    </w:p>
    <w:p w14:paraId="4353A572" w14:textId="77777777" w:rsidR="00B21501" w:rsidRDefault="00B21501" w:rsidP="00B21501">
      <w:pPr>
        <w:pStyle w:val="Reference"/>
        <w:numPr>
          <w:ilvl w:val="0"/>
          <w:numId w:val="0"/>
        </w:numPr>
        <w:ind w:left="567" w:hanging="567"/>
      </w:pPr>
    </w:p>
    <w:p w14:paraId="4D25BDFB" w14:textId="77777777" w:rsidR="003E6D2A" w:rsidRDefault="003E6D2A"/>
    <w:sectPr w:rsidR="003E6D2A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44FC4"/>
    <w:multiLevelType w:val="hybridMultilevel"/>
    <w:tmpl w:val="8BBAD734"/>
    <w:lvl w:ilvl="0" w:tplc="2D3A97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57FD"/>
    <w:multiLevelType w:val="hybridMultilevel"/>
    <w:tmpl w:val="B05E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C7212"/>
    <w:multiLevelType w:val="hybridMultilevel"/>
    <w:tmpl w:val="A04AD18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5645C0"/>
    <w:multiLevelType w:val="hybridMultilevel"/>
    <w:tmpl w:val="9118BAFA"/>
    <w:lvl w:ilvl="0" w:tplc="88C43616">
      <w:start w:val="1"/>
      <w:numFmt w:val="decimal"/>
      <w:lvlText w:val="Observation %1"/>
      <w:lvlJc w:val="righ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8F417F3"/>
    <w:multiLevelType w:val="hybridMultilevel"/>
    <w:tmpl w:val="7CE25902"/>
    <w:lvl w:ilvl="0" w:tplc="30C42F80">
      <w:start w:val="1"/>
      <w:numFmt w:val="decimal"/>
      <w:lvlText w:val="Observation %1."/>
      <w:lvlJc w:val="righ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6235B"/>
    <w:multiLevelType w:val="hybridMultilevel"/>
    <w:tmpl w:val="7C3A5F9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A4190"/>
    <w:multiLevelType w:val="hybridMultilevel"/>
    <w:tmpl w:val="8872EC3C"/>
    <w:lvl w:ilvl="0" w:tplc="E98A1504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4529C"/>
    <w:multiLevelType w:val="hybridMultilevel"/>
    <w:tmpl w:val="F0989F86"/>
    <w:lvl w:ilvl="0" w:tplc="2D3A97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D6061"/>
    <w:multiLevelType w:val="hybridMultilevel"/>
    <w:tmpl w:val="7FAA3D56"/>
    <w:lvl w:ilvl="0" w:tplc="88C43616">
      <w:start w:val="1"/>
      <w:numFmt w:val="decimal"/>
      <w:lvlText w:val="Observation %1"/>
      <w:lvlJc w:val="righ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D24D2"/>
    <w:multiLevelType w:val="hybridMultilevel"/>
    <w:tmpl w:val="68DC4436"/>
    <w:lvl w:ilvl="0" w:tplc="88C43616">
      <w:start w:val="1"/>
      <w:numFmt w:val="decimal"/>
      <w:lvlText w:val="Observation %1"/>
      <w:lvlJc w:val="righ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557E6"/>
    <w:multiLevelType w:val="hybridMultilevel"/>
    <w:tmpl w:val="CD1C2C9E"/>
    <w:lvl w:ilvl="0" w:tplc="656A02B8">
      <w:start w:val="1"/>
      <w:numFmt w:val="decimal"/>
      <w:lvlText w:val="Obs 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E2200"/>
    <w:multiLevelType w:val="hybridMultilevel"/>
    <w:tmpl w:val="A07E943A"/>
    <w:lvl w:ilvl="0" w:tplc="7E58765C">
      <w:start w:val="1"/>
      <w:numFmt w:val="lowerLetter"/>
      <w:lvlText w:val="P1-%1)"/>
      <w:lvlJc w:val="left"/>
      <w:pPr>
        <w:ind w:left="144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2160" w:hanging="360"/>
      </w:pPr>
    </w:lvl>
    <w:lvl w:ilvl="2" w:tplc="2000001B">
      <w:start w:val="1"/>
      <w:numFmt w:val="lowerRoman"/>
      <w:lvlText w:val="%3."/>
      <w:lvlJc w:val="right"/>
      <w:pPr>
        <w:ind w:left="2880" w:hanging="180"/>
      </w:pPr>
    </w:lvl>
    <w:lvl w:ilvl="3" w:tplc="2000000F">
      <w:start w:val="1"/>
      <w:numFmt w:val="decimal"/>
      <w:lvlText w:val="%4."/>
      <w:lvlJc w:val="left"/>
      <w:pPr>
        <w:ind w:left="3600" w:hanging="360"/>
      </w:pPr>
    </w:lvl>
    <w:lvl w:ilvl="4" w:tplc="20000019">
      <w:start w:val="1"/>
      <w:numFmt w:val="lowerLetter"/>
      <w:lvlText w:val="%5."/>
      <w:lvlJc w:val="left"/>
      <w:pPr>
        <w:ind w:left="4320" w:hanging="360"/>
      </w:pPr>
    </w:lvl>
    <w:lvl w:ilvl="5" w:tplc="2000001B">
      <w:start w:val="1"/>
      <w:numFmt w:val="lowerRoman"/>
      <w:lvlText w:val="%6."/>
      <w:lvlJc w:val="right"/>
      <w:pPr>
        <w:ind w:left="5040" w:hanging="180"/>
      </w:pPr>
    </w:lvl>
    <w:lvl w:ilvl="6" w:tplc="2000000F">
      <w:start w:val="1"/>
      <w:numFmt w:val="decimal"/>
      <w:lvlText w:val="%7."/>
      <w:lvlJc w:val="left"/>
      <w:pPr>
        <w:ind w:left="5760" w:hanging="360"/>
      </w:pPr>
    </w:lvl>
    <w:lvl w:ilvl="7" w:tplc="20000019">
      <w:start w:val="1"/>
      <w:numFmt w:val="lowerLetter"/>
      <w:lvlText w:val="%8."/>
      <w:lvlJc w:val="left"/>
      <w:pPr>
        <w:ind w:left="6480" w:hanging="360"/>
      </w:pPr>
    </w:lvl>
    <w:lvl w:ilvl="8" w:tplc="2000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8D465F"/>
    <w:multiLevelType w:val="hybridMultilevel"/>
    <w:tmpl w:val="B8BED65E"/>
    <w:lvl w:ilvl="0" w:tplc="64882474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07702141">
    <w:abstractNumId w:val="4"/>
  </w:num>
  <w:num w:numId="2" w16cid:durableId="2016029263">
    <w:abstractNumId w:val="9"/>
  </w:num>
  <w:num w:numId="3" w16cid:durableId="1941258986">
    <w:abstractNumId w:val="0"/>
  </w:num>
  <w:num w:numId="4" w16cid:durableId="1815100373">
    <w:abstractNumId w:val="1"/>
  </w:num>
  <w:num w:numId="5" w16cid:durableId="309019656">
    <w:abstractNumId w:val="14"/>
  </w:num>
  <w:num w:numId="6" w16cid:durableId="2514979">
    <w:abstractNumId w:val="2"/>
  </w:num>
  <w:num w:numId="7" w16cid:durableId="886795230">
    <w:abstractNumId w:val="14"/>
  </w:num>
  <w:num w:numId="8" w16cid:durableId="374893953">
    <w:abstractNumId w:val="7"/>
  </w:num>
  <w:num w:numId="9" w16cid:durableId="856622472">
    <w:abstractNumId w:val="10"/>
  </w:num>
  <w:num w:numId="10" w16cid:durableId="1627932188">
    <w:abstractNumId w:val="13"/>
  </w:num>
  <w:num w:numId="11" w16cid:durableId="2068648918">
    <w:abstractNumId w:val="5"/>
  </w:num>
  <w:num w:numId="12" w16cid:durableId="823395679">
    <w:abstractNumId w:val="8"/>
  </w:num>
  <w:num w:numId="13" w16cid:durableId="2038115385">
    <w:abstractNumId w:val="3"/>
  </w:num>
  <w:num w:numId="14" w16cid:durableId="2050953486">
    <w:abstractNumId w:val="15"/>
  </w:num>
  <w:num w:numId="15" w16cid:durableId="1820683629">
    <w:abstractNumId w:val="6"/>
  </w:num>
  <w:num w:numId="16" w16cid:durableId="494491115">
    <w:abstractNumId w:val="11"/>
  </w:num>
  <w:num w:numId="17" w16cid:durableId="18825218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D50"/>
    <w:rsid w:val="000001CB"/>
    <w:rsid w:val="00017DE6"/>
    <w:rsid w:val="00042E64"/>
    <w:rsid w:val="00070184"/>
    <w:rsid w:val="000834C8"/>
    <w:rsid w:val="00083FDE"/>
    <w:rsid w:val="00092E6A"/>
    <w:rsid w:val="00094F1E"/>
    <w:rsid w:val="000A367B"/>
    <w:rsid w:val="000B3C44"/>
    <w:rsid w:val="000F1A69"/>
    <w:rsid w:val="00126BD5"/>
    <w:rsid w:val="00127033"/>
    <w:rsid w:val="00170BB8"/>
    <w:rsid w:val="001900B2"/>
    <w:rsid w:val="001C1717"/>
    <w:rsid w:val="001D65B0"/>
    <w:rsid w:val="002164D6"/>
    <w:rsid w:val="00253B28"/>
    <w:rsid w:val="00265539"/>
    <w:rsid w:val="00272C2E"/>
    <w:rsid w:val="002831E6"/>
    <w:rsid w:val="0029086C"/>
    <w:rsid w:val="002B69E8"/>
    <w:rsid w:val="002C1E2D"/>
    <w:rsid w:val="002F706B"/>
    <w:rsid w:val="002F79D5"/>
    <w:rsid w:val="00322489"/>
    <w:rsid w:val="00390D8E"/>
    <w:rsid w:val="003A263C"/>
    <w:rsid w:val="003A3ED2"/>
    <w:rsid w:val="003B4458"/>
    <w:rsid w:val="003B4E32"/>
    <w:rsid w:val="003B6245"/>
    <w:rsid w:val="003C769C"/>
    <w:rsid w:val="003D0A45"/>
    <w:rsid w:val="003E6D2A"/>
    <w:rsid w:val="003F463D"/>
    <w:rsid w:val="004058B5"/>
    <w:rsid w:val="00410431"/>
    <w:rsid w:val="0042586E"/>
    <w:rsid w:val="00430B6D"/>
    <w:rsid w:val="004365B7"/>
    <w:rsid w:val="00462A46"/>
    <w:rsid w:val="00467641"/>
    <w:rsid w:val="0048265D"/>
    <w:rsid w:val="00482C90"/>
    <w:rsid w:val="00490656"/>
    <w:rsid w:val="004A1628"/>
    <w:rsid w:val="004A4742"/>
    <w:rsid w:val="004A553B"/>
    <w:rsid w:val="004C5437"/>
    <w:rsid w:val="004D10D2"/>
    <w:rsid w:val="004D5A2F"/>
    <w:rsid w:val="004E4095"/>
    <w:rsid w:val="004F0442"/>
    <w:rsid w:val="0051512B"/>
    <w:rsid w:val="00553A2F"/>
    <w:rsid w:val="00567821"/>
    <w:rsid w:val="005A7AB6"/>
    <w:rsid w:val="005B2328"/>
    <w:rsid w:val="005C01B4"/>
    <w:rsid w:val="0060096E"/>
    <w:rsid w:val="00606A18"/>
    <w:rsid w:val="00615119"/>
    <w:rsid w:val="00616E5C"/>
    <w:rsid w:val="0062773C"/>
    <w:rsid w:val="006449BE"/>
    <w:rsid w:val="0065419B"/>
    <w:rsid w:val="006631D5"/>
    <w:rsid w:val="006C3A9B"/>
    <w:rsid w:val="006C74BE"/>
    <w:rsid w:val="006E0BC3"/>
    <w:rsid w:val="00703A46"/>
    <w:rsid w:val="00707076"/>
    <w:rsid w:val="00716A0B"/>
    <w:rsid w:val="00723011"/>
    <w:rsid w:val="007236BF"/>
    <w:rsid w:val="00752338"/>
    <w:rsid w:val="00773497"/>
    <w:rsid w:val="007A4A74"/>
    <w:rsid w:val="007A594D"/>
    <w:rsid w:val="007D5BE7"/>
    <w:rsid w:val="007E5619"/>
    <w:rsid w:val="007F09C3"/>
    <w:rsid w:val="00825953"/>
    <w:rsid w:val="00830C31"/>
    <w:rsid w:val="00832F45"/>
    <w:rsid w:val="00846ECA"/>
    <w:rsid w:val="00853310"/>
    <w:rsid w:val="008765A2"/>
    <w:rsid w:val="0088640F"/>
    <w:rsid w:val="00893BE6"/>
    <w:rsid w:val="008A1414"/>
    <w:rsid w:val="008A3A9B"/>
    <w:rsid w:val="008B0A81"/>
    <w:rsid w:val="008D2CF5"/>
    <w:rsid w:val="008E3BE1"/>
    <w:rsid w:val="00911692"/>
    <w:rsid w:val="00927E69"/>
    <w:rsid w:val="00953BD0"/>
    <w:rsid w:val="00997B4B"/>
    <w:rsid w:val="009A0E9A"/>
    <w:rsid w:val="009E320F"/>
    <w:rsid w:val="009E5B44"/>
    <w:rsid w:val="009F3995"/>
    <w:rsid w:val="00A055EF"/>
    <w:rsid w:val="00A31993"/>
    <w:rsid w:val="00A42395"/>
    <w:rsid w:val="00A52EB9"/>
    <w:rsid w:val="00A57049"/>
    <w:rsid w:val="00A92E7B"/>
    <w:rsid w:val="00AA0DEF"/>
    <w:rsid w:val="00AA3E02"/>
    <w:rsid w:val="00AB7C9E"/>
    <w:rsid w:val="00AC7F4A"/>
    <w:rsid w:val="00AD085B"/>
    <w:rsid w:val="00AD4D55"/>
    <w:rsid w:val="00AD5730"/>
    <w:rsid w:val="00AD718C"/>
    <w:rsid w:val="00AE672E"/>
    <w:rsid w:val="00AF501B"/>
    <w:rsid w:val="00AF5280"/>
    <w:rsid w:val="00B06FDF"/>
    <w:rsid w:val="00B07306"/>
    <w:rsid w:val="00B21501"/>
    <w:rsid w:val="00B31B30"/>
    <w:rsid w:val="00B41F19"/>
    <w:rsid w:val="00B62792"/>
    <w:rsid w:val="00B657F8"/>
    <w:rsid w:val="00B66DCD"/>
    <w:rsid w:val="00B747C8"/>
    <w:rsid w:val="00B77631"/>
    <w:rsid w:val="00BA1BE2"/>
    <w:rsid w:val="00BA4FA2"/>
    <w:rsid w:val="00BD6D40"/>
    <w:rsid w:val="00C13A31"/>
    <w:rsid w:val="00C24DE3"/>
    <w:rsid w:val="00C6375D"/>
    <w:rsid w:val="00C67D9F"/>
    <w:rsid w:val="00C7408F"/>
    <w:rsid w:val="00C87A30"/>
    <w:rsid w:val="00C87D21"/>
    <w:rsid w:val="00CA4922"/>
    <w:rsid w:val="00CA6685"/>
    <w:rsid w:val="00CB7AB9"/>
    <w:rsid w:val="00CC242A"/>
    <w:rsid w:val="00CD59E1"/>
    <w:rsid w:val="00CF3386"/>
    <w:rsid w:val="00CF4584"/>
    <w:rsid w:val="00D05FDB"/>
    <w:rsid w:val="00D17DBB"/>
    <w:rsid w:val="00D57DD5"/>
    <w:rsid w:val="00D9059E"/>
    <w:rsid w:val="00DB4295"/>
    <w:rsid w:val="00DC4356"/>
    <w:rsid w:val="00DD5144"/>
    <w:rsid w:val="00DD5AF9"/>
    <w:rsid w:val="00DE006C"/>
    <w:rsid w:val="00DF4AC1"/>
    <w:rsid w:val="00DF6143"/>
    <w:rsid w:val="00E13238"/>
    <w:rsid w:val="00E20FA5"/>
    <w:rsid w:val="00E456C4"/>
    <w:rsid w:val="00E5561E"/>
    <w:rsid w:val="00E8196F"/>
    <w:rsid w:val="00E9120E"/>
    <w:rsid w:val="00E95911"/>
    <w:rsid w:val="00EB1F67"/>
    <w:rsid w:val="00EB7621"/>
    <w:rsid w:val="00EC205F"/>
    <w:rsid w:val="00EF289A"/>
    <w:rsid w:val="00F10A28"/>
    <w:rsid w:val="00F3673D"/>
    <w:rsid w:val="00F56D50"/>
    <w:rsid w:val="00F66255"/>
    <w:rsid w:val="00F9052F"/>
    <w:rsid w:val="00F914C7"/>
    <w:rsid w:val="00FD2019"/>
    <w:rsid w:val="00FE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C2FA1"/>
  <w15:chartTrackingRefBased/>
  <w15:docId w15:val="{5A74A282-02FA-4B9A-9C2B-5C01ACCC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A45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2150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2150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2150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2150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2150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2150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2150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2150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215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1501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21501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21501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21501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21501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21501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21501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21501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21501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B215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B21501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B21501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B21501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B21501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B21501"/>
    <w:rPr>
      <w:rFonts w:ascii="Times New Roman" w:eastAsiaTheme="minorEastAsia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21501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501"/>
    <w:pPr>
      <w:ind w:left="720"/>
      <w:contextualSpacing/>
    </w:pPr>
  </w:style>
  <w:style w:type="paragraph" w:customStyle="1" w:styleId="TAH">
    <w:name w:val="TAH"/>
    <w:basedOn w:val="Normal"/>
    <w:link w:val="TAHChar"/>
    <w:rsid w:val="00B2150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B21501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B2150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150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B21501"/>
    <w:pPr>
      <w:jc w:val="right"/>
    </w:pPr>
  </w:style>
  <w:style w:type="character" w:customStyle="1" w:styleId="THChar">
    <w:name w:val="TH Char"/>
    <w:link w:val="TH"/>
    <w:qFormat/>
    <w:rsid w:val="00B21501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B21501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B2150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B2150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B2150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B2150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616E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616E5C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unhideWhenUsed/>
    <w:qFormat/>
    <w:rsid w:val="00616E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16E5C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747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C8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1511</Words>
  <Characters>8614</Characters>
  <Application>Microsoft Office Word</Application>
  <DocSecurity>0</DocSecurity>
  <Lines>71</Lines>
  <Paragraphs>20</Paragraphs>
  <ScaleCrop>false</ScaleCrop>
  <Company/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180</cp:revision>
  <dcterms:created xsi:type="dcterms:W3CDTF">2022-11-03T14:47:00Z</dcterms:created>
  <dcterms:modified xsi:type="dcterms:W3CDTF">2023-02-17T00:26:00Z</dcterms:modified>
</cp:coreProperties>
</file>